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E91" w:rsidRDefault="00CD0E91" w:rsidP="00EC7F79">
      <w:pPr>
        <w:snapToGrid w:val="0"/>
        <w:spacing w:line="240" w:lineRule="atLeast"/>
        <w:rPr>
          <w:rFonts w:ascii="仿宋_GB2312" w:eastAsia="仿宋_GB2312" w:hint="eastAsia"/>
          <w:sz w:val="32"/>
          <w:szCs w:val="32"/>
        </w:rPr>
      </w:pPr>
    </w:p>
    <w:p w:rsidR="00CD0E91" w:rsidRDefault="00EC7F79">
      <w:pPr>
        <w:spacing w:afterLines="100" w:after="312" w:line="360" w:lineRule="exact"/>
        <w:jc w:val="center"/>
        <w:rPr>
          <w:rFonts w:ascii="黑体" w:eastAsia="黑体"/>
          <w:b/>
          <w:sz w:val="36"/>
          <w:szCs w:val="36"/>
        </w:rPr>
      </w:pPr>
      <w:r>
        <w:rPr>
          <w:rFonts w:ascii="黑体" w:eastAsia="黑体" w:hint="eastAsia"/>
          <w:b/>
          <w:sz w:val="36"/>
          <w:szCs w:val="36"/>
        </w:rPr>
        <w:t>食品科学与工程学院</w:t>
      </w:r>
    </w:p>
    <w:p w:rsidR="00CD0E91" w:rsidRDefault="00EC7F79">
      <w:pPr>
        <w:spacing w:afterLines="100" w:after="312" w:line="360" w:lineRule="exact"/>
        <w:jc w:val="center"/>
        <w:rPr>
          <w:rFonts w:ascii="黑体" w:eastAsia="黑体"/>
          <w:b/>
          <w:sz w:val="36"/>
          <w:szCs w:val="36"/>
        </w:rPr>
      </w:pPr>
      <w:r>
        <w:rPr>
          <w:rFonts w:ascii="黑体" w:eastAsia="黑体" w:hint="eastAsia"/>
          <w:b/>
          <w:sz w:val="36"/>
          <w:szCs w:val="36"/>
        </w:rPr>
        <w:t>实验技术人员年度考核办法（试行）</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实验技术人员是学校人才队伍建设的重要组成部分。认真做好实验技术人员的考核工作有利于调动广大实验技术人员的积极性和创造性，有利于促进教学、科研、实验室建设等各项任务的完成，有利于形成团结和谐的工作氛围。同时也为实验技术人员岗位聘任、专业技术职务晋升、业务培训等提供依据。根据学校《关于加强实验技术人员年度考核的指导意见》（校人发〔2016〕432号）文件精神和本院实际，制定本办法。</w:t>
      </w:r>
    </w:p>
    <w:p w:rsidR="00CD0E91" w:rsidRDefault="00EC7F79">
      <w:pPr>
        <w:pStyle w:val="a5"/>
        <w:widowControl/>
        <w:spacing w:after="0" w:line="360" w:lineRule="auto"/>
        <w:ind w:right="720"/>
        <w:jc w:val="both"/>
        <w:rPr>
          <w:rStyle w:val="a6"/>
          <w:rFonts w:asciiTheme="majorEastAsia" w:eastAsiaTheme="majorEastAsia" w:hAnsiTheme="majorEastAsia" w:cstheme="majorEastAsia"/>
          <w:sz w:val="28"/>
          <w:szCs w:val="28"/>
          <w:shd w:val="clear" w:color="auto" w:fill="FFFFFF"/>
          <w:lang w:bidi="ar"/>
        </w:rPr>
      </w:pPr>
      <w:r>
        <w:rPr>
          <w:rStyle w:val="a6"/>
          <w:rFonts w:asciiTheme="majorEastAsia" w:eastAsiaTheme="majorEastAsia" w:hAnsiTheme="majorEastAsia" w:cstheme="majorEastAsia" w:hint="eastAsia"/>
          <w:sz w:val="28"/>
          <w:szCs w:val="28"/>
          <w:shd w:val="clear" w:color="auto" w:fill="FFFFFF"/>
          <w:lang w:bidi="ar"/>
        </w:rPr>
        <w:t>一、考核范围</w:t>
      </w:r>
    </w:p>
    <w:p w:rsidR="00CD0E91" w:rsidRDefault="00EC7F79">
      <w:pPr>
        <w:pStyle w:val="a8"/>
        <w:spacing w:line="360" w:lineRule="auto"/>
        <w:ind w:firstLineChars="0" w:firstLine="0"/>
        <w:rPr>
          <w:rFonts w:ascii="仿宋" w:eastAsia="仿宋" w:hAnsi="仿宋" w:cs="仿宋"/>
          <w:sz w:val="28"/>
          <w:szCs w:val="28"/>
        </w:rPr>
      </w:pPr>
      <w:r>
        <w:rPr>
          <w:rFonts w:hint="eastAsia"/>
          <w:sz w:val="24"/>
          <w:szCs w:val="24"/>
        </w:rPr>
        <w:t xml:space="preserve"> </w:t>
      </w:r>
      <w:r>
        <w:rPr>
          <w:rFonts w:asciiTheme="minorEastAsia" w:hAnsiTheme="minorEastAsia" w:cstheme="minorEastAsia" w:hint="eastAsia"/>
          <w:color w:val="000000"/>
          <w:kern w:val="0"/>
          <w:sz w:val="28"/>
          <w:szCs w:val="28"/>
          <w:lang w:bidi="ar"/>
        </w:rPr>
        <w:t xml:space="preserve">   食品科学与工程学院实验技术人员（不含测试中心人员）。</w:t>
      </w:r>
    </w:p>
    <w:p w:rsidR="00CD0E91" w:rsidRDefault="00EC7F79">
      <w:pPr>
        <w:pStyle w:val="a5"/>
        <w:widowControl/>
        <w:spacing w:after="0" w:line="360" w:lineRule="auto"/>
        <w:ind w:right="720"/>
        <w:jc w:val="both"/>
        <w:rPr>
          <w:rStyle w:val="a6"/>
          <w:rFonts w:asciiTheme="majorEastAsia" w:eastAsiaTheme="majorEastAsia" w:hAnsiTheme="majorEastAsia" w:cstheme="majorEastAsia"/>
          <w:sz w:val="28"/>
          <w:szCs w:val="28"/>
          <w:shd w:val="clear" w:color="auto" w:fill="FFFFFF"/>
          <w:lang w:bidi="ar"/>
        </w:rPr>
      </w:pPr>
      <w:r>
        <w:rPr>
          <w:rStyle w:val="a6"/>
          <w:rFonts w:asciiTheme="majorEastAsia" w:eastAsiaTheme="majorEastAsia" w:hAnsiTheme="majorEastAsia" w:cstheme="majorEastAsia" w:hint="eastAsia"/>
          <w:sz w:val="28"/>
          <w:szCs w:val="28"/>
          <w:shd w:val="clear" w:color="auto" w:fill="FFFFFF"/>
          <w:lang w:bidi="ar"/>
        </w:rPr>
        <w:t>二、考核原则</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坚持“实事求是、客观公正、民主公开、全面真实”的评价原则，以履行岗位职责的工作实绩为主要内容；采取定性和定量相结合，定量为主，互评与领导、专家、群众相结合的考核方式，力争做到科学、规范和合理。</w:t>
      </w:r>
    </w:p>
    <w:p w:rsidR="00CD0E91" w:rsidRDefault="00EC7F79">
      <w:pPr>
        <w:pStyle w:val="a8"/>
        <w:spacing w:line="360" w:lineRule="auto"/>
        <w:ind w:firstLineChars="0" w:firstLine="0"/>
        <w:rPr>
          <w:rFonts w:ascii="黑体" w:eastAsia="黑体" w:hAnsi="黑体" w:cs="黑体"/>
          <w:b/>
          <w:sz w:val="28"/>
          <w:szCs w:val="28"/>
        </w:rPr>
      </w:pPr>
      <w:r>
        <w:rPr>
          <w:rFonts w:ascii="黑体" w:eastAsia="黑体" w:hAnsi="黑体" w:cs="黑体" w:hint="eastAsia"/>
          <w:b/>
          <w:sz w:val="28"/>
          <w:szCs w:val="28"/>
        </w:rPr>
        <w:t>三、考核内容</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按照实验技术人员岗位职责及有关规章制度的基本要求，以工作中的实际表现为依据，对职业道德、出勤情况、实验室工作、实验室建设等进行全面考核。</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（一）职业道德</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lastRenderedPageBreak/>
        <w:t>主要考核思想观念、道德品质和工作态度；考核其爱岗敬业、为人师表、钻研业务技术、工作作风、法制观念、全局观念、协作精神等方面的表现。</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（二）出勤情况</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主要考核实验室人员的到岗情况。实验室人员实行全日制坐班制，每日签到两次，上下午各签到1次。</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（三）实验室工作</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 xml:space="preserve"> 主要考核完成实验教学的工作量、实验技术水平及管理水平、仪器设备操作、维护、维修、保养技术及责任心；编写实验室管理制度、仪器操作规程、实验课指导书等能力；参与实验室各种辅助管理工作的态度和责任心。</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1、实验教学工作</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实验教学工作包括课程实验及实习实验，包括承担本科以及研究生课程实验及实习任务，涉及实验教学前期准备、材料领取、材料外购、试剂配置、设备整理、仪器调试、实验教学及实习现场指导、后期实验室整理等内容。</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2、教学实验室开放工作</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实验室开放工作是指实验技术人员在完成基本实验教学工作的前提下，利用实验室资源，为本科毕业论文、研究生实验、学生创新实验以及青年教工提供个性化实验技术服务，包括仪器操作、实验场所提供等工作。主要根据开放人数和次数进行考核。</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3、实验室日常管理</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lastRenderedPageBreak/>
        <w:t>日常工作包括实验室安全环保、设备维护、档案信息以及辅助管理等四个方面的内容，具体如下：</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（1）安全卫生</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主要指安全管理制度的执行、安全检查记录、重点安全部位监控化学危险品的管理使用、危险废弃物收集以及实验室环境卫生等内容。</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（2）设备维护</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主要包括仪器设备日常维护保养、设备自修或报修、仪器维修记录登记等内容。</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（3）档案信息</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主要包括仪器设备台帐记录、设备使用说明及操作手册、实验任务及实验室使用登记、实验室信息统计上报等各类纸质、电子以及多媒体档案。</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（4）辅助管理</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是指接受上级部门的定期检查和兄弟院校的参观考察、调研等工作，完成学院下达的一切非常规性工作。</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（四）实验室建设</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主要包括实验室建设计划的制定、执行、验收、效益评价以及账务等内容。仪器设备功能开发与实验方法改进情况；为教学、科研实验提供合理化建议等。编写或修订实验室管理制度、仪器设备操作规程等。</w:t>
      </w:r>
    </w:p>
    <w:p w:rsidR="00CD0E91" w:rsidRDefault="00CD0E91">
      <w:pPr>
        <w:pStyle w:val="a8"/>
        <w:spacing w:line="360" w:lineRule="auto"/>
        <w:ind w:firstLineChars="0" w:firstLine="0"/>
        <w:rPr>
          <w:rFonts w:ascii="黑体" w:eastAsia="黑体" w:hAnsi="黑体" w:cs="黑体"/>
          <w:b/>
          <w:sz w:val="28"/>
          <w:szCs w:val="28"/>
        </w:rPr>
      </w:pPr>
    </w:p>
    <w:p w:rsidR="00CD0E91" w:rsidRDefault="00CD0E91">
      <w:pPr>
        <w:pStyle w:val="a8"/>
        <w:spacing w:line="360" w:lineRule="auto"/>
        <w:ind w:firstLineChars="0" w:firstLine="0"/>
        <w:rPr>
          <w:rFonts w:ascii="黑体" w:eastAsia="黑体" w:hAnsi="黑体" w:cs="黑体"/>
          <w:b/>
          <w:sz w:val="28"/>
          <w:szCs w:val="28"/>
        </w:rPr>
      </w:pPr>
    </w:p>
    <w:p w:rsidR="00CD0E91" w:rsidRDefault="00CD0E91">
      <w:pPr>
        <w:pStyle w:val="a8"/>
        <w:spacing w:line="360" w:lineRule="auto"/>
        <w:ind w:firstLineChars="0" w:firstLine="0"/>
        <w:rPr>
          <w:rFonts w:ascii="黑体" w:eastAsia="黑体" w:hAnsi="黑体" w:cs="黑体"/>
          <w:b/>
          <w:sz w:val="28"/>
          <w:szCs w:val="28"/>
        </w:rPr>
      </w:pPr>
    </w:p>
    <w:p w:rsidR="00CD0E91" w:rsidRDefault="00EC7F79">
      <w:pPr>
        <w:pStyle w:val="a8"/>
        <w:spacing w:line="360" w:lineRule="auto"/>
        <w:ind w:firstLineChars="0" w:firstLine="0"/>
        <w:rPr>
          <w:rFonts w:ascii="黑体" w:eastAsia="黑体" w:hAnsi="黑体" w:cs="黑体"/>
          <w:b/>
          <w:sz w:val="28"/>
          <w:szCs w:val="28"/>
        </w:rPr>
      </w:pPr>
      <w:r>
        <w:rPr>
          <w:rFonts w:ascii="黑体" w:eastAsia="黑体" w:hAnsi="黑体" w:cs="黑体" w:hint="eastAsia"/>
          <w:b/>
          <w:sz w:val="28"/>
          <w:szCs w:val="28"/>
        </w:rPr>
        <w:t>四、考核标准及考核方式</w:t>
      </w:r>
    </w:p>
    <w:tbl>
      <w:tblPr>
        <w:tblStyle w:val="a7"/>
        <w:tblW w:w="8743" w:type="dxa"/>
        <w:tblInd w:w="-221" w:type="dxa"/>
        <w:tblLayout w:type="fixed"/>
        <w:tblLook w:val="04A0" w:firstRow="1" w:lastRow="0" w:firstColumn="1" w:lastColumn="0" w:noHBand="0" w:noVBand="1"/>
      </w:tblPr>
      <w:tblGrid>
        <w:gridCol w:w="696"/>
        <w:gridCol w:w="432"/>
        <w:gridCol w:w="780"/>
        <w:gridCol w:w="2220"/>
        <w:gridCol w:w="1224"/>
        <w:gridCol w:w="996"/>
        <w:gridCol w:w="516"/>
        <w:gridCol w:w="1879"/>
      </w:tblGrid>
      <w:tr w:rsidR="00CD0E91">
        <w:trPr>
          <w:cantSplit/>
          <w:trHeight w:val="844"/>
        </w:trPr>
        <w:tc>
          <w:tcPr>
            <w:tcW w:w="696" w:type="dxa"/>
            <w:vAlign w:val="center"/>
          </w:tcPr>
          <w:p w:rsidR="00CD0E91" w:rsidRDefault="00EC7F79">
            <w:pPr>
              <w:pStyle w:val="a8"/>
              <w:spacing w:line="240" w:lineRule="exact"/>
              <w:ind w:firstLineChars="0" w:firstLine="0"/>
              <w:jc w:val="center"/>
              <w:rPr>
                <w:b/>
                <w:szCs w:val="21"/>
              </w:rPr>
            </w:pPr>
            <w:r>
              <w:rPr>
                <w:rFonts w:ascii="黑体" w:eastAsia="黑体" w:hAnsi="黑体" w:cs="黑体" w:hint="eastAsia"/>
                <w:b/>
                <w:sz w:val="24"/>
                <w:szCs w:val="24"/>
              </w:rPr>
              <w:t>序号</w:t>
            </w:r>
          </w:p>
        </w:tc>
        <w:tc>
          <w:tcPr>
            <w:tcW w:w="1212" w:type="dxa"/>
            <w:gridSpan w:val="2"/>
            <w:vAlign w:val="center"/>
          </w:tcPr>
          <w:p w:rsidR="00CD0E91" w:rsidRDefault="00EC7F79">
            <w:pPr>
              <w:pStyle w:val="a8"/>
              <w:spacing w:line="240" w:lineRule="exact"/>
              <w:ind w:firstLineChars="0" w:firstLine="0"/>
              <w:jc w:val="center"/>
              <w:rPr>
                <w:rFonts w:ascii="黑体" w:eastAsia="黑体" w:hAnsi="黑体" w:cs="黑体"/>
                <w:b/>
                <w:sz w:val="24"/>
                <w:szCs w:val="24"/>
              </w:rPr>
            </w:pPr>
            <w:r>
              <w:rPr>
                <w:rFonts w:ascii="黑体" w:eastAsia="黑体" w:hAnsi="黑体" w:cs="黑体" w:hint="eastAsia"/>
                <w:b/>
                <w:sz w:val="24"/>
                <w:szCs w:val="24"/>
              </w:rPr>
              <w:t>指标</w:t>
            </w:r>
          </w:p>
        </w:tc>
        <w:tc>
          <w:tcPr>
            <w:tcW w:w="2220" w:type="dxa"/>
            <w:vAlign w:val="center"/>
          </w:tcPr>
          <w:p w:rsidR="00CD0E91" w:rsidRDefault="00EC7F79">
            <w:pPr>
              <w:pStyle w:val="a8"/>
              <w:spacing w:line="240" w:lineRule="exact"/>
              <w:ind w:firstLineChars="0" w:firstLine="0"/>
              <w:jc w:val="center"/>
              <w:rPr>
                <w:rFonts w:ascii="黑体" w:eastAsia="黑体" w:hAnsi="黑体" w:cs="黑体"/>
                <w:b/>
                <w:sz w:val="24"/>
                <w:szCs w:val="24"/>
              </w:rPr>
            </w:pPr>
            <w:r>
              <w:rPr>
                <w:rFonts w:ascii="黑体" w:eastAsia="黑体" w:hAnsi="黑体" w:cs="黑体" w:hint="eastAsia"/>
                <w:b/>
                <w:sz w:val="24"/>
                <w:szCs w:val="24"/>
              </w:rPr>
              <w:t>计算办法</w:t>
            </w:r>
          </w:p>
        </w:tc>
        <w:tc>
          <w:tcPr>
            <w:tcW w:w="1224" w:type="dxa"/>
            <w:vAlign w:val="center"/>
          </w:tcPr>
          <w:p w:rsidR="00CD0E91" w:rsidRDefault="00EC7F79">
            <w:pPr>
              <w:pStyle w:val="a8"/>
              <w:spacing w:line="240" w:lineRule="exact"/>
              <w:ind w:firstLineChars="0" w:firstLine="0"/>
              <w:jc w:val="center"/>
              <w:rPr>
                <w:rFonts w:ascii="黑体" w:eastAsia="黑体" w:hAnsi="黑体" w:cs="黑体"/>
                <w:b/>
                <w:sz w:val="24"/>
                <w:szCs w:val="24"/>
              </w:rPr>
            </w:pPr>
            <w:r>
              <w:rPr>
                <w:rFonts w:ascii="黑体" w:eastAsia="黑体" w:hAnsi="黑体" w:cs="黑体" w:hint="eastAsia"/>
                <w:b/>
                <w:sz w:val="24"/>
                <w:szCs w:val="24"/>
              </w:rPr>
              <w:t>评价标准</w:t>
            </w:r>
          </w:p>
        </w:tc>
        <w:tc>
          <w:tcPr>
            <w:tcW w:w="1512" w:type="dxa"/>
            <w:gridSpan w:val="2"/>
            <w:vAlign w:val="center"/>
          </w:tcPr>
          <w:p w:rsidR="00CD0E91" w:rsidRDefault="00EC7F79">
            <w:pPr>
              <w:pStyle w:val="a8"/>
              <w:spacing w:line="240" w:lineRule="exact"/>
              <w:ind w:firstLineChars="100" w:firstLine="241"/>
              <w:jc w:val="center"/>
              <w:rPr>
                <w:rFonts w:ascii="黑体" w:eastAsia="黑体" w:hAnsi="黑体" w:cs="黑体"/>
                <w:b/>
                <w:sz w:val="24"/>
                <w:szCs w:val="24"/>
              </w:rPr>
            </w:pPr>
            <w:r>
              <w:rPr>
                <w:rFonts w:ascii="黑体" w:eastAsia="黑体" w:hAnsi="黑体" w:cs="黑体" w:hint="eastAsia"/>
                <w:b/>
                <w:sz w:val="24"/>
                <w:szCs w:val="24"/>
              </w:rPr>
              <w:t>分值</w:t>
            </w:r>
          </w:p>
        </w:tc>
        <w:tc>
          <w:tcPr>
            <w:tcW w:w="1879" w:type="dxa"/>
            <w:vAlign w:val="center"/>
          </w:tcPr>
          <w:p w:rsidR="00CD0E91" w:rsidRDefault="00EC7F79">
            <w:pPr>
              <w:pStyle w:val="a8"/>
              <w:spacing w:line="240" w:lineRule="exact"/>
              <w:ind w:firstLineChars="0" w:firstLine="0"/>
              <w:jc w:val="center"/>
              <w:rPr>
                <w:rFonts w:ascii="黑体" w:eastAsia="黑体" w:hAnsi="黑体" w:cs="黑体"/>
                <w:b/>
                <w:sz w:val="24"/>
                <w:szCs w:val="24"/>
              </w:rPr>
            </w:pPr>
            <w:r>
              <w:rPr>
                <w:rFonts w:ascii="黑体" w:eastAsia="黑体" w:hAnsi="黑体" w:cs="黑体" w:hint="eastAsia"/>
                <w:b/>
                <w:sz w:val="24"/>
                <w:szCs w:val="24"/>
              </w:rPr>
              <w:t>备注</w:t>
            </w:r>
          </w:p>
        </w:tc>
      </w:tr>
      <w:tr w:rsidR="00CD0E91">
        <w:trPr>
          <w:trHeight w:val="866"/>
        </w:trPr>
        <w:tc>
          <w:tcPr>
            <w:tcW w:w="69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w:t>
            </w:r>
          </w:p>
        </w:tc>
        <w:tc>
          <w:tcPr>
            <w:tcW w:w="1212" w:type="dxa"/>
            <w:gridSpan w:val="2"/>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职业道德(10分)</w:t>
            </w:r>
          </w:p>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采用互评（满分10分）及专家组评分（满分10分）的原则打分</w:t>
            </w:r>
          </w:p>
        </w:tc>
        <w:tc>
          <w:tcPr>
            <w:tcW w:w="1224"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二者的平均分为个人所得分数。</w:t>
            </w:r>
          </w:p>
        </w:tc>
        <w:tc>
          <w:tcPr>
            <w:tcW w:w="1512" w:type="dxa"/>
            <w:gridSpan w:val="2"/>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10</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rPr>
          <w:trHeight w:val="1190"/>
        </w:trPr>
        <w:tc>
          <w:tcPr>
            <w:tcW w:w="696" w:type="dxa"/>
            <w:vMerge w:val="restart"/>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w:t>
            </w:r>
          </w:p>
        </w:tc>
        <w:tc>
          <w:tcPr>
            <w:tcW w:w="1212" w:type="dxa"/>
            <w:gridSpan w:val="2"/>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出勤情况（10分）</w:t>
            </w:r>
          </w:p>
        </w:tc>
        <w:tc>
          <w:tcPr>
            <w:tcW w:w="2220" w:type="dxa"/>
            <w:vMerge w:val="restart"/>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得分=出勤率×10分</w:t>
            </w:r>
          </w:p>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出勤率=实际按时签到次数÷应该按时签到次数×100%</w:t>
            </w:r>
          </w:p>
        </w:tc>
        <w:tc>
          <w:tcPr>
            <w:tcW w:w="1224"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旷工1次</w:t>
            </w:r>
          </w:p>
        </w:tc>
        <w:tc>
          <w:tcPr>
            <w:tcW w:w="1512" w:type="dxa"/>
            <w:gridSpan w:val="2"/>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w:t>
            </w:r>
          </w:p>
        </w:tc>
        <w:tc>
          <w:tcPr>
            <w:tcW w:w="1879" w:type="dxa"/>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每日签到2次，上午8:20前，下午14:20（夏令时14:50）前。不得迟到、早退；事假、病假、出差1天以上（包含1天），按照学院请销假制度执行，临时外出办事者给负责考勤的人员请假，不办理任何手续者按旷工对待，每月统计一次考勤，年底汇总。因工作需要，学院要求节假日必须正常上班的，按照正常上班时间算。</w:t>
            </w:r>
          </w:p>
        </w:tc>
      </w:tr>
      <w:tr w:rsidR="00CD0E91">
        <w:trPr>
          <w:trHeight w:val="1470"/>
        </w:trPr>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1212" w:type="dxa"/>
            <w:gridSpan w:val="2"/>
            <w:vMerge/>
            <w:vAlign w:val="center"/>
          </w:tcPr>
          <w:p w:rsidR="00CD0E91" w:rsidRDefault="00CD0E91">
            <w:pPr>
              <w:pStyle w:val="a8"/>
              <w:spacing w:line="240" w:lineRule="exact"/>
              <w:ind w:firstLine="36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迟到或早退1次</w:t>
            </w:r>
          </w:p>
        </w:tc>
        <w:tc>
          <w:tcPr>
            <w:tcW w:w="1512" w:type="dxa"/>
            <w:gridSpan w:val="2"/>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-0.2</w:t>
            </w:r>
          </w:p>
        </w:tc>
        <w:tc>
          <w:tcPr>
            <w:tcW w:w="1879"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1212" w:type="dxa"/>
            <w:gridSpan w:val="2"/>
            <w:vMerge/>
            <w:vAlign w:val="center"/>
          </w:tcPr>
          <w:p w:rsidR="00CD0E91" w:rsidRDefault="00CD0E91">
            <w:pPr>
              <w:pStyle w:val="a8"/>
              <w:spacing w:line="240" w:lineRule="exact"/>
              <w:ind w:firstLine="36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事假1次</w:t>
            </w:r>
          </w:p>
        </w:tc>
        <w:tc>
          <w:tcPr>
            <w:tcW w:w="1512" w:type="dxa"/>
            <w:gridSpan w:val="2"/>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-0.1</w:t>
            </w:r>
          </w:p>
        </w:tc>
        <w:tc>
          <w:tcPr>
            <w:tcW w:w="1879"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restart"/>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3</w:t>
            </w:r>
          </w:p>
        </w:tc>
        <w:tc>
          <w:tcPr>
            <w:tcW w:w="432" w:type="dxa"/>
            <w:vMerge w:val="restart"/>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实验室工作（70分）</w:t>
            </w:r>
          </w:p>
        </w:tc>
        <w:tc>
          <w:tcPr>
            <w:tcW w:w="780" w:type="dxa"/>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实验教学工作(50分）</w:t>
            </w:r>
          </w:p>
        </w:tc>
        <w:tc>
          <w:tcPr>
            <w:tcW w:w="2220" w:type="dxa"/>
            <w:vMerge w:val="restart"/>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课程实验工作量计算方法：</w:t>
            </w:r>
          </w:p>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课程实验工作量（学时）=实验学时数×实验准备难度系数×班级数（以实际上课班级为准）</w:t>
            </w:r>
          </w:p>
        </w:tc>
        <w:tc>
          <w:tcPr>
            <w:tcW w:w="1224" w:type="dxa"/>
            <w:vMerge w:val="restart"/>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 xml:space="preserve">实验准备难度系数 </w:t>
            </w:r>
          </w:p>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微生物、化学类</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1.2</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工艺类</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1.0</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rPr>
          <w:trHeight w:val="274"/>
        </w:trPr>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rPr>
            </w:pPr>
            <w:r>
              <w:rPr>
                <w:rFonts w:ascii="楷体_GB2312" w:eastAsia="楷体_GB2312" w:hAnsi="楷体_GB2312" w:cs="楷体_GB2312" w:hint="eastAsia"/>
                <w:bCs/>
                <w:sz w:val="18"/>
                <w:szCs w:val="18"/>
              </w:rPr>
              <w:t>工程类</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0.8</w:t>
            </w:r>
          </w:p>
        </w:tc>
        <w:tc>
          <w:tcPr>
            <w:tcW w:w="1879" w:type="dxa"/>
            <w:vAlign w:val="center"/>
          </w:tcPr>
          <w:p w:rsidR="00CD0E91" w:rsidRDefault="00CD0E91">
            <w:pPr>
              <w:jc w:val="left"/>
              <w:rPr>
                <w:rFonts w:ascii="楷体_GB2312" w:eastAsia="楷体_GB2312" w:hAnsi="楷体_GB2312" w:cs="楷体_GB2312"/>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计算机类</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0.4</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时段调节系数</w:t>
            </w: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正常工作时段</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w:t>
            </w:r>
          </w:p>
        </w:tc>
        <w:tc>
          <w:tcPr>
            <w:tcW w:w="1879"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学院统一规定的正常上班时段</w:t>
            </w: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非正常工作时段</w:t>
            </w: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1.5</w:t>
            </w:r>
          </w:p>
        </w:tc>
        <w:tc>
          <w:tcPr>
            <w:tcW w:w="1879"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国家规定节假日与晚间工作时段</w:t>
            </w: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24"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实习实验工作量</w:t>
            </w:r>
          </w:p>
        </w:tc>
        <w:tc>
          <w:tcPr>
            <w:tcW w:w="996"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实习实验工作量与课程负责教师协承担。</w:t>
            </w:r>
          </w:p>
        </w:tc>
        <w:tc>
          <w:tcPr>
            <w:tcW w:w="516"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879"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实验课开设时段以教务处教学计划或计划变更审批为准。</w:t>
            </w:r>
          </w:p>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课程实验准备工作量及实习实验工作量之和排名第一的为满分50分，其他人员的教学工作量得分按照公式计算：个人实验准备工作量÷第一名工作量×40</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879"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如：张三工作量排名第一，为420学时，得分50分，李四工作量为380学时，</w:t>
            </w:r>
            <w:proofErr w:type="gramStart"/>
            <w:r>
              <w:rPr>
                <w:rFonts w:ascii="楷体_GB2312" w:eastAsia="楷体_GB2312" w:hAnsi="楷体_GB2312" w:cs="楷体_GB2312" w:hint="eastAsia"/>
                <w:bCs/>
                <w:sz w:val="18"/>
                <w:szCs w:val="18"/>
              </w:rPr>
              <w:t>则李四</w:t>
            </w:r>
            <w:proofErr w:type="gramEnd"/>
            <w:r>
              <w:rPr>
                <w:rFonts w:ascii="楷体_GB2312" w:eastAsia="楷体_GB2312" w:hAnsi="楷体_GB2312" w:cs="楷体_GB2312" w:hint="eastAsia"/>
                <w:bCs/>
                <w:sz w:val="18"/>
                <w:szCs w:val="18"/>
              </w:rPr>
              <w:t>得分380÷420×50=36.19分。</w:t>
            </w: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教学实验室开放(10分)</w:t>
            </w: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认真执行教学实验室开放管理制度，具有详实的教学实验室开放记录，服务满意度高</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jc w:val="center"/>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10</w:t>
            </w:r>
          </w:p>
        </w:tc>
        <w:tc>
          <w:tcPr>
            <w:tcW w:w="1879" w:type="dxa"/>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服务满意度差，弄虚作假者</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jc w:val="center"/>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0</w:t>
            </w:r>
          </w:p>
        </w:tc>
        <w:tc>
          <w:tcPr>
            <w:tcW w:w="1879" w:type="dxa"/>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restart"/>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实验室</w:t>
            </w:r>
            <w:r>
              <w:rPr>
                <w:rFonts w:ascii="楷体_GB2312" w:eastAsia="楷体_GB2312" w:hAnsi="楷体_GB2312" w:cs="楷体_GB2312" w:hint="eastAsia"/>
                <w:bCs/>
                <w:sz w:val="18"/>
                <w:szCs w:val="18"/>
              </w:rPr>
              <w:lastRenderedPageBreak/>
              <w:t>日常管理(10分)</w:t>
            </w:r>
          </w:p>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lastRenderedPageBreak/>
              <w:t>实验室始终保持干净、整</w:t>
            </w:r>
            <w:r>
              <w:rPr>
                <w:rFonts w:ascii="楷体_GB2312" w:eastAsia="楷体_GB2312" w:hAnsi="楷体_GB2312" w:cs="楷体_GB2312" w:hint="eastAsia"/>
                <w:bCs/>
                <w:sz w:val="18"/>
                <w:szCs w:val="18"/>
              </w:rPr>
              <w:lastRenderedPageBreak/>
              <w:t>洁，遵守实验室安全管理制度，每周坚持安全自查及开放使用后检查，有完整的安全检查记录等</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jc w:val="center"/>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3</w:t>
            </w:r>
          </w:p>
        </w:tc>
        <w:tc>
          <w:tcPr>
            <w:tcW w:w="1879" w:type="dxa"/>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定期教学仪器设备维护保养，维修仪器时效快，未影响实验</w:t>
            </w:r>
            <w:proofErr w:type="gramStart"/>
            <w:r>
              <w:rPr>
                <w:rFonts w:ascii="楷体_GB2312" w:eastAsia="楷体_GB2312" w:hAnsi="楷体_GB2312" w:cs="楷体_GB2312" w:hint="eastAsia"/>
                <w:bCs/>
                <w:sz w:val="18"/>
                <w:szCs w:val="18"/>
              </w:rPr>
              <w:t>课正常</w:t>
            </w:r>
            <w:proofErr w:type="gramEnd"/>
            <w:r>
              <w:rPr>
                <w:rFonts w:ascii="楷体_GB2312" w:eastAsia="楷体_GB2312" w:hAnsi="楷体_GB2312" w:cs="楷体_GB2312" w:hint="eastAsia"/>
                <w:bCs/>
                <w:sz w:val="18"/>
                <w:szCs w:val="18"/>
              </w:rPr>
              <w:t>开展，有完整的维修、保养记录</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教学仪器设备物、账、卡相符率100%。有完整的说明书或仪器操作规程，能按时完成实验室每年度的各种实验室信息统计，纸质或电子文档完整</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积极迎接上级部门的各种检查、兄弟院校等来宾参观考察，满意度高</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3</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jc w:val="center"/>
              <w:rPr>
                <w:rFonts w:ascii="楷体_GB2312" w:eastAsia="楷体_GB2312" w:hAnsi="楷体_GB2312" w:cs="楷体_GB2312"/>
                <w:bCs/>
                <w:sz w:val="18"/>
                <w:szCs w:val="18"/>
              </w:rPr>
            </w:pPr>
          </w:p>
        </w:tc>
        <w:tc>
          <w:tcPr>
            <w:tcW w:w="432"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780"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凡在学校安全或卫生检查及有关部门抽查中不合格者</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-2/次</w:t>
            </w:r>
          </w:p>
        </w:tc>
        <w:tc>
          <w:tcPr>
            <w:tcW w:w="1879" w:type="dxa"/>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累计有三次不合格者，扣完实验室日常管理的10分</w:t>
            </w:r>
          </w:p>
        </w:tc>
      </w:tr>
      <w:tr w:rsidR="00CD0E91">
        <w:tc>
          <w:tcPr>
            <w:tcW w:w="696" w:type="dxa"/>
            <w:vMerge w:val="restart"/>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4</w:t>
            </w:r>
          </w:p>
        </w:tc>
        <w:tc>
          <w:tcPr>
            <w:tcW w:w="1212" w:type="dxa"/>
            <w:gridSpan w:val="2"/>
            <w:vMerge w:val="restart"/>
            <w:vAlign w:val="center"/>
          </w:tcPr>
          <w:p w:rsidR="00CD0E91" w:rsidRDefault="00EC7F79">
            <w:pPr>
              <w:pStyle w:val="a8"/>
              <w:spacing w:line="240" w:lineRule="exact"/>
              <w:ind w:firstLineChars="0" w:firstLine="0"/>
              <w:rPr>
                <w:rFonts w:ascii="楷体_GB2312" w:eastAsia="楷体_GB2312" w:hAnsi="楷体_GB2312" w:cs="楷体_GB2312"/>
                <w:bCs/>
                <w:sz w:val="18"/>
                <w:szCs w:val="18"/>
              </w:rPr>
            </w:pPr>
            <w:r>
              <w:rPr>
                <w:rFonts w:ascii="楷体_GB2312" w:eastAsia="楷体_GB2312" w:hAnsi="楷体_GB2312" w:cs="楷体_GB2312" w:hint="eastAsia"/>
                <w:bCs/>
                <w:sz w:val="18"/>
                <w:szCs w:val="18"/>
              </w:rPr>
              <w:t>实验室建设(10分)</w:t>
            </w:r>
          </w:p>
        </w:tc>
        <w:tc>
          <w:tcPr>
            <w:tcW w:w="2220"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能按时有效完成每次实验室仪器设备采购前调研、论证、安装、调试、验收、入账等工作</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5</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rPr>
          <w:trHeight w:val="1000"/>
        </w:trPr>
        <w:tc>
          <w:tcPr>
            <w:tcW w:w="696"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12" w:type="dxa"/>
            <w:gridSpan w:val="2"/>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能够根据实际需要制订或修订实验室管理制度、仪器设备操作规程；积极参与实验指导书编写等工作</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3</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r w:rsidR="00CD0E91">
        <w:tc>
          <w:tcPr>
            <w:tcW w:w="696" w:type="dxa"/>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1212" w:type="dxa"/>
            <w:gridSpan w:val="2"/>
            <w:vMerge/>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2220" w:type="dxa"/>
            <w:vAlign w:val="center"/>
          </w:tcPr>
          <w:p w:rsidR="00CD0E91" w:rsidRDefault="00EC7F79">
            <w:pPr>
              <w:spacing w:line="240" w:lineRule="exact"/>
              <w:rPr>
                <w:rFonts w:ascii="楷体_GB2312" w:eastAsia="楷体_GB2312" w:hAnsi="楷体_GB2312" w:cs="楷体_GB2312"/>
                <w:bCs/>
                <w:sz w:val="18"/>
                <w:szCs w:val="18"/>
              </w:rPr>
            </w:pPr>
            <w:r>
              <w:rPr>
                <w:rFonts w:ascii="楷体_GB2312" w:eastAsia="楷体_GB2312" w:hAnsi="楷体_GB2312" w:cs="楷体_GB2312" w:hint="eastAsia"/>
                <w:bCs/>
                <w:sz w:val="18"/>
                <w:szCs w:val="18"/>
              </w:rPr>
              <w:t>积极参与仪器设备功能开发与实验方法改进情况；为教学、科研实验提供合理化建议等</w:t>
            </w:r>
          </w:p>
        </w:tc>
        <w:tc>
          <w:tcPr>
            <w:tcW w:w="1224"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c>
          <w:tcPr>
            <w:tcW w:w="996" w:type="dxa"/>
            <w:vAlign w:val="center"/>
          </w:tcPr>
          <w:p w:rsidR="00CD0E91" w:rsidRDefault="00CD0E91">
            <w:pPr>
              <w:spacing w:line="240" w:lineRule="exact"/>
              <w:rPr>
                <w:rFonts w:ascii="楷体_GB2312" w:eastAsia="楷体_GB2312" w:hAnsi="楷体_GB2312" w:cs="楷体_GB2312"/>
                <w:bCs/>
                <w:sz w:val="18"/>
                <w:szCs w:val="18"/>
              </w:rPr>
            </w:pPr>
          </w:p>
        </w:tc>
        <w:tc>
          <w:tcPr>
            <w:tcW w:w="516" w:type="dxa"/>
            <w:vAlign w:val="center"/>
          </w:tcPr>
          <w:p w:rsidR="00CD0E91" w:rsidRDefault="00EC7F79">
            <w:pPr>
              <w:pStyle w:val="a8"/>
              <w:spacing w:line="240" w:lineRule="exact"/>
              <w:ind w:firstLineChars="0" w:firstLine="0"/>
              <w:jc w:val="center"/>
              <w:rPr>
                <w:rFonts w:ascii="楷体_GB2312" w:eastAsia="楷体_GB2312" w:hAnsi="楷体_GB2312" w:cs="楷体_GB2312"/>
                <w:bCs/>
                <w:sz w:val="18"/>
                <w:szCs w:val="18"/>
              </w:rPr>
            </w:pPr>
            <w:r>
              <w:rPr>
                <w:rFonts w:ascii="楷体_GB2312" w:eastAsia="楷体_GB2312" w:hAnsi="楷体_GB2312" w:cs="楷体_GB2312" w:hint="eastAsia"/>
                <w:bCs/>
                <w:sz w:val="18"/>
                <w:szCs w:val="18"/>
              </w:rPr>
              <w:t>2</w:t>
            </w:r>
          </w:p>
        </w:tc>
        <w:tc>
          <w:tcPr>
            <w:tcW w:w="1879" w:type="dxa"/>
            <w:vAlign w:val="center"/>
          </w:tcPr>
          <w:p w:rsidR="00CD0E91" w:rsidRDefault="00CD0E91">
            <w:pPr>
              <w:pStyle w:val="a8"/>
              <w:spacing w:line="240" w:lineRule="exact"/>
              <w:ind w:firstLineChars="0" w:firstLine="0"/>
              <w:rPr>
                <w:rFonts w:ascii="楷体_GB2312" w:eastAsia="楷体_GB2312" w:hAnsi="楷体_GB2312" w:cs="楷体_GB2312"/>
                <w:bCs/>
                <w:sz w:val="18"/>
                <w:szCs w:val="18"/>
              </w:rPr>
            </w:pPr>
          </w:p>
        </w:tc>
      </w:tr>
    </w:tbl>
    <w:p w:rsidR="00CD0E91" w:rsidRDefault="00EC7F79">
      <w:pPr>
        <w:pStyle w:val="a8"/>
        <w:spacing w:line="360" w:lineRule="auto"/>
        <w:ind w:firstLineChars="0" w:firstLine="0"/>
        <w:rPr>
          <w:rFonts w:ascii="黑体" w:eastAsia="黑体" w:hAnsi="黑体" w:cs="黑体"/>
          <w:b/>
          <w:sz w:val="28"/>
          <w:szCs w:val="28"/>
        </w:rPr>
      </w:pPr>
      <w:r>
        <w:rPr>
          <w:rFonts w:ascii="黑体" w:eastAsia="黑体" w:hAnsi="黑体" w:cs="黑体" w:hint="eastAsia"/>
          <w:b/>
          <w:sz w:val="28"/>
          <w:szCs w:val="28"/>
        </w:rPr>
        <w:t>五、考核等级</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（一）考核等级分为优秀、合格、不合格三个等级，每个考核等级所占比例根据学院当年下达的考核文件执行。</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（二）凡出现下列情况之一者，考核结果记为不合格。</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1、不服从任务分配、服务态度差、师生反映强烈；</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2、旷工3日以上（含3日）或多次迟到早退；</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3、因个人原因，导致所管实验室财物被盗；</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4、因工作失误，造成实验教学事故；</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5、所管实验室发生安全责任事故；</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6、其他违反学校相关规定，情节严重。</w:t>
      </w:r>
    </w:p>
    <w:p w:rsidR="00CD0E91" w:rsidRDefault="00CD0E91">
      <w:pPr>
        <w:pStyle w:val="a8"/>
        <w:spacing w:line="360" w:lineRule="auto"/>
        <w:ind w:firstLineChars="0" w:firstLine="0"/>
        <w:rPr>
          <w:rFonts w:ascii="黑体" w:eastAsia="黑体" w:hAnsi="黑体" w:cs="黑体"/>
          <w:b/>
          <w:sz w:val="28"/>
          <w:szCs w:val="28"/>
        </w:rPr>
      </w:pPr>
    </w:p>
    <w:p w:rsidR="00CD0E91" w:rsidRDefault="00EC7F79">
      <w:pPr>
        <w:pStyle w:val="a8"/>
        <w:spacing w:line="360" w:lineRule="auto"/>
        <w:ind w:firstLineChars="0" w:firstLine="0"/>
        <w:rPr>
          <w:rFonts w:ascii="黑体" w:eastAsia="黑体" w:hAnsi="黑体" w:cs="黑体"/>
          <w:b/>
          <w:sz w:val="28"/>
          <w:szCs w:val="28"/>
        </w:rPr>
      </w:pPr>
      <w:r>
        <w:rPr>
          <w:rFonts w:ascii="黑体" w:eastAsia="黑体" w:hAnsi="黑体" w:cs="黑体" w:hint="eastAsia"/>
          <w:b/>
          <w:sz w:val="28"/>
          <w:szCs w:val="28"/>
        </w:rPr>
        <w:t>六、考核程序</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1、个人填写考核表并提供各种考核纸质或电子材料。</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2、由主管实验室工作的主管领导组织考核小组，并组织考核。</w:t>
      </w:r>
    </w:p>
    <w:p w:rsidR="00CD0E91" w:rsidRDefault="00EC7F79">
      <w:pPr>
        <w:spacing w:line="360" w:lineRule="auto"/>
        <w:ind w:firstLineChars="200" w:firstLine="560"/>
        <w:rPr>
          <w:rFonts w:asciiTheme="minorEastAsia" w:hAnsiTheme="minorEastAsia" w:cstheme="minorEastAsia"/>
          <w:color w:val="000000"/>
          <w:kern w:val="0"/>
          <w:sz w:val="28"/>
          <w:szCs w:val="28"/>
          <w:lang w:bidi="ar"/>
        </w:rPr>
      </w:pPr>
      <w:r>
        <w:rPr>
          <w:rFonts w:asciiTheme="minorEastAsia" w:hAnsiTheme="minorEastAsia" w:cstheme="minorEastAsia" w:hint="eastAsia"/>
          <w:color w:val="000000"/>
          <w:kern w:val="0"/>
          <w:sz w:val="28"/>
          <w:szCs w:val="28"/>
          <w:lang w:bidi="ar"/>
        </w:rPr>
        <w:t>3、考核结束后按照相关要求进行公示。</w:t>
      </w:r>
    </w:p>
    <w:p w:rsidR="00CD0E91" w:rsidRDefault="00EC7F79">
      <w:pPr>
        <w:spacing w:line="360" w:lineRule="auto"/>
        <w:rPr>
          <w:rFonts w:ascii="黑体" w:eastAsia="黑体" w:hAnsi="黑体" w:cs="黑体"/>
          <w:b/>
          <w:sz w:val="28"/>
          <w:szCs w:val="28"/>
        </w:rPr>
      </w:pPr>
      <w:r>
        <w:rPr>
          <w:rFonts w:ascii="黑体" w:eastAsia="黑体" w:hAnsi="黑体" w:cs="黑体" w:hint="eastAsia"/>
          <w:b/>
          <w:sz w:val="28"/>
          <w:szCs w:val="28"/>
        </w:rPr>
        <w:t>七、附则</w:t>
      </w:r>
    </w:p>
    <w:p w:rsidR="00CD0E91" w:rsidRDefault="00EC7F79">
      <w:pPr>
        <w:spacing w:line="360" w:lineRule="auto"/>
        <w:ind w:firstLineChars="200" w:firstLine="560"/>
        <w:rPr>
          <w:rFonts w:asciiTheme="minorEastAsia" w:hAnsiTheme="minorEastAsia" w:cstheme="minorEastAsia"/>
          <w:b/>
          <w:sz w:val="28"/>
          <w:szCs w:val="28"/>
        </w:rPr>
      </w:pPr>
      <w:r>
        <w:rPr>
          <w:rFonts w:asciiTheme="minorEastAsia" w:hAnsiTheme="minorEastAsia" w:cstheme="minorEastAsia" w:hint="eastAsia"/>
          <w:color w:val="000000"/>
          <w:kern w:val="0"/>
          <w:sz w:val="28"/>
          <w:szCs w:val="28"/>
          <w:lang w:bidi="ar"/>
        </w:rPr>
        <w:t>1、本管理办法从公布之日起开始执行。</w:t>
      </w:r>
    </w:p>
    <w:p w:rsidR="00CD0E91" w:rsidRDefault="00EC7F79">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2、本办法中如有和学校有关文件冲突的，以学校文件为准。</w:t>
      </w:r>
    </w:p>
    <w:p w:rsidR="00CD0E91" w:rsidRDefault="00EC7F79">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3、本办法由党政联席会负责修订。</w:t>
      </w:r>
    </w:p>
    <w:p w:rsidR="00CD0E91" w:rsidRDefault="00EC7F79">
      <w:p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4、本办法由食品科学与工程学院</w:t>
      </w:r>
      <w:r w:rsidR="00622BE5">
        <w:rPr>
          <w:rFonts w:asciiTheme="minorEastAsia" w:hAnsiTheme="minorEastAsia" w:cstheme="minorEastAsia" w:hint="eastAsia"/>
          <w:sz w:val="28"/>
          <w:szCs w:val="28"/>
        </w:rPr>
        <w:t>负责</w:t>
      </w:r>
      <w:r>
        <w:rPr>
          <w:rFonts w:asciiTheme="minorEastAsia" w:hAnsiTheme="minorEastAsia" w:cstheme="minorEastAsia" w:hint="eastAsia"/>
          <w:sz w:val="28"/>
          <w:szCs w:val="28"/>
        </w:rPr>
        <w:t>解释。</w:t>
      </w:r>
      <w:bookmarkStart w:id="0" w:name="_GoBack"/>
      <w:bookmarkEnd w:id="0"/>
    </w:p>
    <w:sectPr w:rsidR="00CD0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21"/>
    <w:rsid w:val="00002771"/>
    <w:rsid w:val="00016EF8"/>
    <w:rsid w:val="0001793F"/>
    <w:rsid w:val="0002567F"/>
    <w:rsid w:val="00044D36"/>
    <w:rsid w:val="000507FF"/>
    <w:rsid w:val="00072B31"/>
    <w:rsid w:val="00087328"/>
    <w:rsid w:val="000926B7"/>
    <w:rsid w:val="000A2C26"/>
    <w:rsid w:val="000A343F"/>
    <w:rsid w:val="000A7310"/>
    <w:rsid w:val="000B26A3"/>
    <w:rsid w:val="000B4162"/>
    <w:rsid w:val="000F2E1D"/>
    <w:rsid w:val="00105507"/>
    <w:rsid w:val="00124C91"/>
    <w:rsid w:val="00140D6F"/>
    <w:rsid w:val="00152BDB"/>
    <w:rsid w:val="001572AF"/>
    <w:rsid w:val="00164AA7"/>
    <w:rsid w:val="00170348"/>
    <w:rsid w:val="0017295E"/>
    <w:rsid w:val="00180776"/>
    <w:rsid w:val="00184AA5"/>
    <w:rsid w:val="00193E2B"/>
    <w:rsid w:val="001A0C6D"/>
    <w:rsid w:val="001A553F"/>
    <w:rsid w:val="001A737D"/>
    <w:rsid w:val="001B0C31"/>
    <w:rsid w:val="001C547E"/>
    <w:rsid w:val="001C7A6D"/>
    <w:rsid w:val="001F00A8"/>
    <w:rsid w:val="001F248E"/>
    <w:rsid w:val="001F2D9A"/>
    <w:rsid w:val="001F416B"/>
    <w:rsid w:val="001F77B6"/>
    <w:rsid w:val="00204E01"/>
    <w:rsid w:val="00206E49"/>
    <w:rsid w:val="00215147"/>
    <w:rsid w:val="00220FDE"/>
    <w:rsid w:val="00264D0A"/>
    <w:rsid w:val="00276862"/>
    <w:rsid w:val="00277FA7"/>
    <w:rsid w:val="00290C09"/>
    <w:rsid w:val="00297426"/>
    <w:rsid w:val="002A26C5"/>
    <w:rsid w:val="002A7042"/>
    <w:rsid w:val="002B2C3D"/>
    <w:rsid w:val="002D4AFF"/>
    <w:rsid w:val="002E4F93"/>
    <w:rsid w:val="00307083"/>
    <w:rsid w:val="00316164"/>
    <w:rsid w:val="00331700"/>
    <w:rsid w:val="003358F7"/>
    <w:rsid w:val="00336339"/>
    <w:rsid w:val="00336669"/>
    <w:rsid w:val="0034667A"/>
    <w:rsid w:val="00346C59"/>
    <w:rsid w:val="00347B02"/>
    <w:rsid w:val="0038692E"/>
    <w:rsid w:val="0039029B"/>
    <w:rsid w:val="00396A87"/>
    <w:rsid w:val="003A325B"/>
    <w:rsid w:val="003A619F"/>
    <w:rsid w:val="003C0A75"/>
    <w:rsid w:val="003C7EC4"/>
    <w:rsid w:val="003D6AF7"/>
    <w:rsid w:val="003E129C"/>
    <w:rsid w:val="003E6DE7"/>
    <w:rsid w:val="003F3BE2"/>
    <w:rsid w:val="003F7D51"/>
    <w:rsid w:val="00412759"/>
    <w:rsid w:val="00416B84"/>
    <w:rsid w:val="0041786D"/>
    <w:rsid w:val="00423411"/>
    <w:rsid w:val="00427FD0"/>
    <w:rsid w:val="00437D9A"/>
    <w:rsid w:val="00443739"/>
    <w:rsid w:val="00444F1F"/>
    <w:rsid w:val="00465C6B"/>
    <w:rsid w:val="00467F38"/>
    <w:rsid w:val="004741A7"/>
    <w:rsid w:val="004755E5"/>
    <w:rsid w:val="004814A7"/>
    <w:rsid w:val="00483B52"/>
    <w:rsid w:val="00483ED3"/>
    <w:rsid w:val="00484587"/>
    <w:rsid w:val="004856FE"/>
    <w:rsid w:val="004B252B"/>
    <w:rsid w:val="004B450A"/>
    <w:rsid w:val="004B602F"/>
    <w:rsid w:val="004B63C1"/>
    <w:rsid w:val="004C17BB"/>
    <w:rsid w:val="004C2864"/>
    <w:rsid w:val="004C637C"/>
    <w:rsid w:val="004D6D63"/>
    <w:rsid w:val="004E3C6B"/>
    <w:rsid w:val="004F3F21"/>
    <w:rsid w:val="004F4936"/>
    <w:rsid w:val="004F620F"/>
    <w:rsid w:val="00500B15"/>
    <w:rsid w:val="005077CF"/>
    <w:rsid w:val="005576A4"/>
    <w:rsid w:val="00557B7C"/>
    <w:rsid w:val="005615DF"/>
    <w:rsid w:val="0057000D"/>
    <w:rsid w:val="00584AD3"/>
    <w:rsid w:val="005A6A0B"/>
    <w:rsid w:val="005B6E65"/>
    <w:rsid w:val="005C37CD"/>
    <w:rsid w:val="005C6CE9"/>
    <w:rsid w:val="005D18CD"/>
    <w:rsid w:val="005D451D"/>
    <w:rsid w:val="005D6AC2"/>
    <w:rsid w:val="005D7298"/>
    <w:rsid w:val="005E5113"/>
    <w:rsid w:val="005F3A09"/>
    <w:rsid w:val="005F4252"/>
    <w:rsid w:val="00604A58"/>
    <w:rsid w:val="00621EC1"/>
    <w:rsid w:val="006223A0"/>
    <w:rsid w:val="00622873"/>
    <w:rsid w:val="00622BE5"/>
    <w:rsid w:val="0063468F"/>
    <w:rsid w:val="00641690"/>
    <w:rsid w:val="00651375"/>
    <w:rsid w:val="0066250A"/>
    <w:rsid w:val="00681C3A"/>
    <w:rsid w:val="006977BF"/>
    <w:rsid w:val="006A1391"/>
    <w:rsid w:val="006A745C"/>
    <w:rsid w:val="006A74CF"/>
    <w:rsid w:val="006B319B"/>
    <w:rsid w:val="006C7A9E"/>
    <w:rsid w:val="006E3796"/>
    <w:rsid w:val="006E6AAF"/>
    <w:rsid w:val="007143F7"/>
    <w:rsid w:val="00717948"/>
    <w:rsid w:val="00741564"/>
    <w:rsid w:val="007435D0"/>
    <w:rsid w:val="0075192A"/>
    <w:rsid w:val="00754AA5"/>
    <w:rsid w:val="00755222"/>
    <w:rsid w:val="00757461"/>
    <w:rsid w:val="00765117"/>
    <w:rsid w:val="00765F78"/>
    <w:rsid w:val="0077166B"/>
    <w:rsid w:val="00785E14"/>
    <w:rsid w:val="007A3A49"/>
    <w:rsid w:val="007B0860"/>
    <w:rsid w:val="007B453E"/>
    <w:rsid w:val="007B6665"/>
    <w:rsid w:val="007C217D"/>
    <w:rsid w:val="007C46ED"/>
    <w:rsid w:val="007C52A9"/>
    <w:rsid w:val="007D09A9"/>
    <w:rsid w:val="007D2137"/>
    <w:rsid w:val="007E1FE0"/>
    <w:rsid w:val="007E634F"/>
    <w:rsid w:val="007F2846"/>
    <w:rsid w:val="00802548"/>
    <w:rsid w:val="008151F0"/>
    <w:rsid w:val="00816783"/>
    <w:rsid w:val="008205CA"/>
    <w:rsid w:val="00835D48"/>
    <w:rsid w:val="008367E7"/>
    <w:rsid w:val="008577F1"/>
    <w:rsid w:val="00884565"/>
    <w:rsid w:val="00886A00"/>
    <w:rsid w:val="00894D7D"/>
    <w:rsid w:val="00895BFA"/>
    <w:rsid w:val="008A3669"/>
    <w:rsid w:val="008B5F89"/>
    <w:rsid w:val="008C156D"/>
    <w:rsid w:val="008D03E3"/>
    <w:rsid w:val="008E52E2"/>
    <w:rsid w:val="00906143"/>
    <w:rsid w:val="0091094B"/>
    <w:rsid w:val="00911F3D"/>
    <w:rsid w:val="00916015"/>
    <w:rsid w:val="009165BD"/>
    <w:rsid w:val="009209B3"/>
    <w:rsid w:val="0092197B"/>
    <w:rsid w:val="00933BA7"/>
    <w:rsid w:val="00935F2A"/>
    <w:rsid w:val="00940F92"/>
    <w:rsid w:val="00942F6B"/>
    <w:rsid w:val="00946342"/>
    <w:rsid w:val="0095231C"/>
    <w:rsid w:val="00960993"/>
    <w:rsid w:val="00971142"/>
    <w:rsid w:val="00976BD7"/>
    <w:rsid w:val="0097784B"/>
    <w:rsid w:val="00981181"/>
    <w:rsid w:val="0098397F"/>
    <w:rsid w:val="00992219"/>
    <w:rsid w:val="009A0D26"/>
    <w:rsid w:val="009A4C5F"/>
    <w:rsid w:val="009B1C38"/>
    <w:rsid w:val="009B64DA"/>
    <w:rsid w:val="009B7B99"/>
    <w:rsid w:val="009C4E0C"/>
    <w:rsid w:val="009C5F52"/>
    <w:rsid w:val="009C6653"/>
    <w:rsid w:val="009E727F"/>
    <w:rsid w:val="009F0820"/>
    <w:rsid w:val="009F65FF"/>
    <w:rsid w:val="00A062C4"/>
    <w:rsid w:val="00A23EF7"/>
    <w:rsid w:val="00A268C6"/>
    <w:rsid w:val="00A64779"/>
    <w:rsid w:val="00A855F5"/>
    <w:rsid w:val="00A91F6B"/>
    <w:rsid w:val="00AA1032"/>
    <w:rsid w:val="00AA12DA"/>
    <w:rsid w:val="00AA2DA6"/>
    <w:rsid w:val="00AB4E17"/>
    <w:rsid w:val="00AB4EB6"/>
    <w:rsid w:val="00AB7BE2"/>
    <w:rsid w:val="00AC1BAE"/>
    <w:rsid w:val="00AC22F9"/>
    <w:rsid w:val="00AC7660"/>
    <w:rsid w:val="00AD0DF4"/>
    <w:rsid w:val="00AD1516"/>
    <w:rsid w:val="00AD3DA1"/>
    <w:rsid w:val="00AD4397"/>
    <w:rsid w:val="00AD55D4"/>
    <w:rsid w:val="00B0077B"/>
    <w:rsid w:val="00B02E9F"/>
    <w:rsid w:val="00B120BB"/>
    <w:rsid w:val="00B16F36"/>
    <w:rsid w:val="00B34695"/>
    <w:rsid w:val="00B55F3F"/>
    <w:rsid w:val="00B61553"/>
    <w:rsid w:val="00B730CA"/>
    <w:rsid w:val="00B873B1"/>
    <w:rsid w:val="00B95A83"/>
    <w:rsid w:val="00BC3232"/>
    <w:rsid w:val="00C01B60"/>
    <w:rsid w:val="00C12574"/>
    <w:rsid w:val="00C13314"/>
    <w:rsid w:val="00C165EE"/>
    <w:rsid w:val="00C17D45"/>
    <w:rsid w:val="00C22740"/>
    <w:rsid w:val="00C33624"/>
    <w:rsid w:val="00C37595"/>
    <w:rsid w:val="00C42F56"/>
    <w:rsid w:val="00C53E30"/>
    <w:rsid w:val="00C64569"/>
    <w:rsid w:val="00C663EF"/>
    <w:rsid w:val="00C72E66"/>
    <w:rsid w:val="00C81800"/>
    <w:rsid w:val="00C81D14"/>
    <w:rsid w:val="00C875B6"/>
    <w:rsid w:val="00CA17A4"/>
    <w:rsid w:val="00CA3A88"/>
    <w:rsid w:val="00CA7D4A"/>
    <w:rsid w:val="00CC31B6"/>
    <w:rsid w:val="00CD0E91"/>
    <w:rsid w:val="00CE06A4"/>
    <w:rsid w:val="00CE4E46"/>
    <w:rsid w:val="00CF067F"/>
    <w:rsid w:val="00CF0B63"/>
    <w:rsid w:val="00CF0F79"/>
    <w:rsid w:val="00CF3F91"/>
    <w:rsid w:val="00D0548B"/>
    <w:rsid w:val="00D06E00"/>
    <w:rsid w:val="00D10E80"/>
    <w:rsid w:val="00D14E71"/>
    <w:rsid w:val="00D249C2"/>
    <w:rsid w:val="00D260B6"/>
    <w:rsid w:val="00D3465A"/>
    <w:rsid w:val="00D40323"/>
    <w:rsid w:val="00D41B9A"/>
    <w:rsid w:val="00D43B14"/>
    <w:rsid w:val="00D52B4C"/>
    <w:rsid w:val="00D63737"/>
    <w:rsid w:val="00D7573F"/>
    <w:rsid w:val="00D761AC"/>
    <w:rsid w:val="00D8107B"/>
    <w:rsid w:val="00D82E71"/>
    <w:rsid w:val="00D92263"/>
    <w:rsid w:val="00D97219"/>
    <w:rsid w:val="00DA6450"/>
    <w:rsid w:val="00DA72B9"/>
    <w:rsid w:val="00DB3901"/>
    <w:rsid w:val="00DB4366"/>
    <w:rsid w:val="00DC3D3C"/>
    <w:rsid w:val="00DD1148"/>
    <w:rsid w:val="00DD5E27"/>
    <w:rsid w:val="00DD662A"/>
    <w:rsid w:val="00DE3D53"/>
    <w:rsid w:val="00DE6E1C"/>
    <w:rsid w:val="00DF4F84"/>
    <w:rsid w:val="00DF701D"/>
    <w:rsid w:val="00E07E76"/>
    <w:rsid w:val="00E17551"/>
    <w:rsid w:val="00E3298B"/>
    <w:rsid w:val="00E37460"/>
    <w:rsid w:val="00E51B67"/>
    <w:rsid w:val="00E56A9A"/>
    <w:rsid w:val="00E61CEE"/>
    <w:rsid w:val="00E96182"/>
    <w:rsid w:val="00EC59F6"/>
    <w:rsid w:val="00EC7F79"/>
    <w:rsid w:val="00ED4848"/>
    <w:rsid w:val="00ED6481"/>
    <w:rsid w:val="00EE4D8A"/>
    <w:rsid w:val="00EE52D2"/>
    <w:rsid w:val="00EF1679"/>
    <w:rsid w:val="00EF1E3D"/>
    <w:rsid w:val="00F030BF"/>
    <w:rsid w:val="00F242FD"/>
    <w:rsid w:val="00F50421"/>
    <w:rsid w:val="00F60997"/>
    <w:rsid w:val="00F61F9B"/>
    <w:rsid w:val="00F674B9"/>
    <w:rsid w:val="00F74529"/>
    <w:rsid w:val="00F80C92"/>
    <w:rsid w:val="00F811A2"/>
    <w:rsid w:val="00F81BE6"/>
    <w:rsid w:val="00F84117"/>
    <w:rsid w:val="00F906CC"/>
    <w:rsid w:val="00FA37CB"/>
    <w:rsid w:val="00FA4A5E"/>
    <w:rsid w:val="00FB6198"/>
    <w:rsid w:val="00FC512F"/>
    <w:rsid w:val="00FE39D2"/>
    <w:rsid w:val="00FE654C"/>
    <w:rsid w:val="00FF5AB1"/>
    <w:rsid w:val="018A12AA"/>
    <w:rsid w:val="04353B66"/>
    <w:rsid w:val="08D66ED5"/>
    <w:rsid w:val="0A8F0529"/>
    <w:rsid w:val="0C2448B2"/>
    <w:rsid w:val="15F01823"/>
    <w:rsid w:val="189E5A80"/>
    <w:rsid w:val="19D216F7"/>
    <w:rsid w:val="1FD302BC"/>
    <w:rsid w:val="21BB5A68"/>
    <w:rsid w:val="254D2076"/>
    <w:rsid w:val="264A0E86"/>
    <w:rsid w:val="26770FD7"/>
    <w:rsid w:val="27012D7C"/>
    <w:rsid w:val="2E16299E"/>
    <w:rsid w:val="2E204E56"/>
    <w:rsid w:val="33423C0C"/>
    <w:rsid w:val="355C3D54"/>
    <w:rsid w:val="38061596"/>
    <w:rsid w:val="388F0BDD"/>
    <w:rsid w:val="397C44A4"/>
    <w:rsid w:val="44666692"/>
    <w:rsid w:val="455B719E"/>
    <w:rsid w:val="46FF4CC5"/>
    <w:rsid w:val="4ADA6B3B"/>
    <w:rsid w:val="4B330D82"/>
    <w:rsid w:val="4BE23A51"/>
    <w:rsid w:val="4E455318"/>
    <w:rsid w:val="50442721"/>
    <w:rsid w:val="528323AA"/>
    <w:rsid w:val="54765FD0"/>
    <w:rsid w:val="55561E0C"/>
    <w:rsid w:val="55F77870"/>
    <w:rsid w:val="564D5416"/>
    <w:rsid w:val="598222FA"/>
    <w:rsid w:val="5A903683"/>
    <w:rsid w:val="5B8D7EB0"/>
    <w:rsid w:val="61427B93"/>
    <w:rsid w:val="62D81359"/>
    <w:rsid w:val="633E318E"/>
    <w:rsid w:val="6455115F"/>
    <w:rsid w:val="672E3F0F"/>
    <w:rsid w:val="687248F7"/>
    <w:rsid w:val="69D24F90"/>
    <w:rsid w:val="6A6438E8"/>
    <w:rsid w:val="6C5B4703"/>
    <w:rsid w:val="6C936D59"/>
    <w:rsid w:val="7137281B"/>
    <w:rsid w:val="73226119"/>
    <w:rsid w:val="741A044F"/>
    <w:rsid w:val="753860E1"/>
    <w:rsid w:val="786418D1"/>
    <w:rsid w:val="7B94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717225F-79B5-4B67-BC38-C3124328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after="120"/>
      <w:jc w:val="left"/>
    </w:pPr>
    <w:rPr>
      <w:rFonts w:cs="Times New Roman"/>
      <w:kern w:val="0"/>
      <w:sz w:val="24"/>
    </w:rPr>
  </w:style>
  <w:style w:type="character" w:styleId="a6">
    <w:name w:val="Strong"/>
    <w:uiPriority w:val="22"/>
    <w:qFormat/>
    <w:rPr>
      <w:b/>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cp:revision>
  <cp:lastPrinted>2018-03-16T02:43:00Z</cp:lastPrinted>
  <dcterms:created xsi:type="dcterms:W3CDTF">2018-03-16T02:41:00Z</dcterms:created>
  <dcterms:modified xsi:type="dcterms:W3CDTF">2018-03-22T07:48:00Z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