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r>
        <w:rPr>
          <w:rFonts w:hint="eastAsia" w:ascii="仿宋_GB2312" w:hAnsi="仿宋_GB2312" w:eastAsia="仿宋_GB2312"/>
          <w:sz w:val="32"/>
        </w:rPr>
        <w:t>附件：</w:t>
      </w:r>
    </w:p>
    <w:p>
      <w:pPr>
        <w:jc w:val="center"/>
        <w:rPr>
          <w:rFonts w:ascii="宋体" w:hAnsi="宋体"/>
          <w:b/>
          <w:sz w:val="32"/>
          <w:szCs w:val="32"/>
        </w:rPr>
      </w:pPr>
      <w:r>
        <w:rPr>
          <w:rFonts w:hint="eastAsia" w:ascii="宋体" w:hAnsi="宋体"/>
          <w:b/>
          <w:sz w:val="32"/>
          <w:szCs w:val="32"/>
        </w:rPr>
        <w:t>申报2022年度中国轻工业联合会科学技术</w:t>
      </w:r>
    </w:p>
    <w:p>
      <w:pPr>
        <w:jc w:val="center"/>
      </w:pPr>
      <w:r>
        <w:rPr>
          <w:rFonts w:hint="eastAsia" w:ascii="宋体" w:hAnsi="宋体"/>
          <w:b/>
          <w:sz w:val="32"/>
          <w:szCs w:val="32"/>
        </w:rPr>
        <w:t>奖励项目公示内容</w:t>
      </w:r>
    </w:p>
    <w:tbl>
      <w:tblPr>
        <w:tblStyle w:val="6"/>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15" w:type="dxa"/>
            <w:vAlign w:val="center"/>
          </w:tcPr>
          <w:p>
            <w:pPr>
              <w:jc w:val="center"/>
              <w:rPr>
                <w:rFonts w:ascii="仿宋_GB2312" w:hAnsi="仿宋_GB2312" w:eastAsia="仿宋_GB2312"/>
                <w:sz w:val="24"/>
              </w:rPr>
            </w:pPr>
            <w:r>
              <w:rPr>
                <w:rFonts w:hint="eastAsia" w:ascii="仿宋_GB2312" w:hAnsi="仿宋_GB2312" w:eastAsia="仿宋_GB2312"/>
                <w:sz w:val="24"/>
              </w:rPr>
              <w:t>项目名称</w:t>
            </w:r>
          </w:p>
        </w:tc>
        <w:tc>
          <w:tcPr>
            <w:tcW w:w="6858" w:type="dxa"/>
            <w:vAlign w:val="center"/>
          </w:tcPr>
          <w:p>
            <w:pPr>
              <w:spacing w:line="500" w:lineRule="exact"/>
              <w:jc w:val="center"/>
              <w:rPr>
                <w:sz w:val="24"/>
                <w:szCs w:val="21"/>
              </w:rPr>
            </w:pPr>
            <w:r>
              <w:rPr>
                <w:rFonts w:hint="eastAsia"/>
                <w:sz w:val="24"/>
                <w:szCs w:val="21"/>
              </w:rPr>
              <w:t>肉蛋白功能特性提升及肉品品质控制关键技术创新与应用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15" w:type="dxa"/>
            <w:vAlign w:val="center"/>
          </w:tcPr>
          <w:p>
            <w:pPr>
              <w:jc w:val="center"/>
              <w:rPr>
                <w:rFonts w:ascii="仿宋_GB2312" w:hAnsi="仿宋_GB2312" w:eastAsia="仿宋_GB2312"/>
                <w:sz w:val="24"/>
              </w:rPr>
            </w:pPr>
            <w:r>
              <w:rPr>
                <w:rFonts w:hint="eastAsia" w:ascii="仿宋_GB2312" w:hAnsi="仿宋_GB2312" w:eastAsia="仿宋_GB2312"/>
                <w:sz w:val="24"/>
              </w:rPr>
              <w:t>完成单位</w:t>
            </w:r>
          </w:p>
        </w:tc>
        <w:tc>
          <w:tcPr>
            <w:tcW w:w="6858" w:type="dxa"/>
            <w:vAlign w:val="center"/>
          </w:tcPr>
          <w:p>
            <w:pPr>
              <w:spacing w:line="500" w:lineRule="exact"/>
              <w:jc w:val="left"/>
              <w:rPr>
                <w:sz w:val="24"/>
                <w:szCs w:val="21"/>
              </w:rPr>
            </w:pPr>
            <w:r>
              <w:rPr>
                <w:rFonts w:hint="eastAsia"/>
                <w:sz w:val="24"/>
                <w:szCs w:val="21"/>
              </w:rPr>
              <w:t>西北农林科技大学、广东温氏佳味食品有限公司、南京农业大学、中国计量大学、</w:t>
            </w:r>
            <w:r>
              <w:rPr>
                <w:sz w:val="24"/>
                <w:szCs w:val="21"/>
              </w:rPr>
              <w:t>中国农业科学院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15" w:type="dxa"/>
            <w:vAlign w:val="center"/>
          </w:tcPr>
          <w:p>
            <w:pPr>
              <w:jc w:val="center"/>
              <w:rPr>
                <w:rFonts w:ascii="仿宋_GB2312" w:hAnsi="仿宋_GB2312" w:eastAsia="仿宋_GB2312"/>
                <w:sz w:val="24"/>
              </w:rPr>
            </w:pPr>
            <w:r>
              <w:rPr>
                <w:rFonts w:hint="eastAsia" w:ascii="仿宋_GB2312" w:hAnsi="仿宋_GB2312" w:eastAsia="仿宋_GB2312"/>
                <w:sz w:val="24"/>
              </w:rPr>
              <w:t>完成人</w:t>
            </w:r>
          </w:p>
        </w:tc>
        <w:tc>
          <w:tcPr>
            <w:tcW w:w="6858" w:type="dxa"/>
            <w:vAlign w:val="center"/>
          </w:tcPr>
          <w:p>
            <w:pPr>
              <w:spacing w:line="500" w:lineRule="exact"/>
              <w:jc w:val="left"/>
              <w:rPr>
                <w:rFonts w:ascii="仿宋_GB2312" w:hAnsi="仿宋_GB2312" w:eastAsia="仿宋_GB2312"/>
                <w:sz w:val="24"/>
                <w:szCs w:val="21"/>
              </w:rPr>
            </w:pPr>
            <w:r>
              <w:rPr>
                <w:rFonts w:hint="eastAsia"/>
                <w:sz w:val="24"/>
                <w:szCs w:val="21"/>
              </w:rPr>
              <w:t>冯宪超、韩敏义、陈琳、杨慧娟、王晓明、黄峰、吕欣、徐幸莲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773" w:type="dxa"/>
            <w:gridSpan w:val="2"/>
          </w:tcPr>
          <w:p>
            <w:pPr>
              <w:spacing w:line="360" w:lineRule="auto"/>
              <w:ind w:firstLine="480" w:firstLineChars="200"/>
              <w:rPr>
                <w:rFonts w:eastAsia="楷体"/>
                <w:sz w:val="24"/>
                <w:szCs w:val="28"/>
              </w:rPr>
            </w:pPr>
            <w:r>
              <w:rPr>
                <w:rFonts w:hint="eastAsia" w:eastAsia="楷体"/>
                <w:sz w:val="24"/>
                <w:szCs w:val="28"/>
              </w:rPr>
              <w:t xml:space="preserve">本项目重要创新性进展如下： </w:t>
            </w:r>
          </w:p>
          <w:p>
            <w:pPr>
              <w:spacing w:line="360" w:lineRule="auto"/>
              <w:rPr>
                <w:rFonts w:eastAsia="楷体"/>
                <w:b/>
                <w:bCs/>
                <w:sz w:val="24"/>
                <w:szCs w:val="28"/>
              </w:rPr>
            </w:pPr>
            <w:r>
              <w:rPr>
                <w:rFonts w:eastAsia="楷体"/>
                <w:b/>
                <w:bCs/>
                <w:sz w:val="24"/>
                <w:szCs w:val="28"/>
              </w:rPr>
              <w:t>1</w:t>
            </w:r>
            <w:r>
              <w:rPr>
                <w:rFonts w:hint="eastAsia" w:eastAsia="楷体"/>
                <w:b/>
                <w:bCs/>
                <w:sz w:val="24"/>
                <w:szCs w:val="28"/>
              </w:rPr>
              <w:t>. 揭示了超声波、多酚调控宰后肉成熟过程中肉嫩度品质的规律及机制，创建了利用超声波、多酚调控冷鲜肉品质的技术体系。</w:t>
            </w:r>
          </w:p>
          <w:p>
            <w:pPr>
              <w:spacing w:line="360" w:lineRule="auto"/>
              <w:ind w:firstLine="480" w:firstLineChars="200"/>
              <w:rPr>
                <w:rFonts w:eastAsia="楷体"/>
                <w:sz w:val="24"/>
                <w:szCs w:val="28"/>
              </w:rPr>
            </w:pPr>
            <w:r>
              <w:rPr>
                <w:rFonts w:hint="eastAsia" w:eastAsia="楷体"/>
                <w:sz w:val="24"/>
                <w:szCs w:val="28"/>
              </w:rPr>
              <w:t>项目研究发现利用低频高强度超声（</w:t>
            </w:r>
            <w:r>
              <w:rPr>
                <w:rFonts w:eastAsia="楷体"/>
                <w:sz w:val="24"/>
                <w:szCs w:val="28"/>
              </w:rPr>
              <w:t>40</w:t>
            </w:r>
            <w:r>
              <w:rPr>
                <w:rFonts w:hint="eastAsia" w:eastAsia="楷体"/>
                <w:sz w:val="24"/>
                <w:szCs w:val="28"/>
              </w:rPr>
              <w:t xml:space="preserve"> </w:t>
            </w:r>
            <w:r>
              <w:rPr>
                <w:rFonts w:eastAsia="楷体"/>
                <w:sz w:val="24"/>
                <w:szCs w:val="28"/>
              </w:rPr>
              <w:t>kHz</w:t>
            </w:r>
            <w:r>
              <w:rPr>
                <w:rFonts w:hint="eastAsia" w:eastAsia="楷体"/>
                <w:sz w:val="24"/>
                <w:szCs w:val="28"/>
              </w:rPr>
              <w:t>，</w:t>
            </w:r>
            <w:r>
              <w:rPr>
                <w:rFonts w:eastAsia="楷体"/>
                <w:sz w:val="24"/>
                <w:szCs w:val="28"/>
              </w:rPr>
              <w:t>1500</w:t>
            </w:r>
            <w:r>
              <w:rPr>
                <w:rFonts w:hint="eastAsia" w:eastAsia="楷体"/>
                <w:sz w:val="24"/>
                <w:szCs w:val="28"/>
              </w:rPr>
              <w:t xml:space="preserve"> </w:t>
            </w:r>
            <w:r>
              <w:rPr>
                <w:rFonts w:eastAsia="楷体"/>
                <w:sz w:val="24"/>
                <w:szCs w:val="28"/>
              </w:rPr>
              <w:t>W）</w:t>
            </w:r>
            <w:r>
              <w:rPr>
                <w:rFonts w:hint="eastAsia" w:eastAsia="楷体"/>
                <w:sz w:val="24"/>
                <w:szCs w:val="28"/>
              </w:rPr>
              <w:t>处理</w:t>
            </w:r>
            <w:r>
              <w:rPr>
                <w:rFonts w:eastAsia="楷体"/>
                <w:sz w:val="24"/>
                <w:szCs w:val="28"/>
              </w:rPr>
              <w:t>60</w:t>
            </w:r>
            <w:r>
              <w:rPr>
                <w:rFonts w:hint="eastAsia" w:eastAsia="楷体"/>
                <w:sz w:val="24"/>
                <w:szCs w:val="28"/>
              </w:rPr>
              <w:t xml:space="preserve"> min，使肉的嫩度提高</w:t>
            </w:r>
            <w:r>
              <w:rPr>
                <w:rFonts w:eastAsia="楷体"/>
                <w:sz w:val="24"/>
                <w:szCs w:val="28"/>
              </w:rPr>
              <w:t>26</w:t>
            </w:r>
            <w:r>
              <w:rPr>
                <w:rFonts w:hint="eastAsia" w:eastAsia="楷体"/>
                <w:sz w:val="24"/>
                <w:szCs w:val="28"/>
              </w:rPr>
              <w:t>%。同时研究发现</w:t>
            </w:r>
            <w:r>
              <w:rPr>
                <w:rFonts w:eastAsia="楷体"/>
                <w:sz w:val="24"/>
                <w:szCs w:val="28"/>
              </w:rPr>
              <w:t>100 μg/mL</w:t>
            </w:r>
            <w:r>
              <w:rPr>
                <w:rFonts w:hint="eastAsia" w:eastAsia="楷体"/>
                <w:sz w:val="24"/>
                <w:szCs w:val="28"/>
              </w:rPr>
              <w:t>槲皮素使鸡肉的嫩度提高了4</w:t>
            </w:r>
            <w:r>
              <w:rPr>
                <w:rFonts w:eastAsia="楷体"/>
                <w:sz w:val="24"/>
                <w:szCs w:val="28"/>
              </w:rPr>
              <w:t>0%</w:t>
            </w:r>
            <w:r>
              <w:rPr>
                <w:rFonts w:hint="eastAsia" w:eastAsia="楷体"/>
                <w:sz w:val="24"/>
                <w:szCs w:val="28"/>
              </w:rPr>
              <w:t>，保水性提高了4</w:t>
            </w:r>
            <w:r>
              <w:rPr>
                <w:rFonts w:eastAsia="楷体"/>
                <w:sz w:val="24"/>
                <w:szCs w:val="28"/>
              </w:rPr>
              <w:t>3%</w:t>
            </w:r>
            <w:r>
              <w:rPr>
                <w:rFonts w:hint="eastAsia" w:eastAsia="楷体"/>
                <w:sz w:val="24"/>
                <w:szCs w:val="28"/>
              </w:rPr>
              <w:t>。</w:t>
            </w:r>
          </w:p>
          <w:p>
            <w:pPr>
              <w:spacing w:line="360" w:lineRule="auto"/>
              <w:rPr>
                <w:rFonts w:eastAsia="楷体"/>
                <w:b/>
                <w:bCs/>
                <w:sz w:val="24"/>
                <w:szCs w:val="28"/>
              </w:rPr>
            </w:pPr>
            <w:r>
              <w:rPr>
                <w:rFonts w:eastAsia="楷体"/>
                <w:sz w:val="24"/>
                <w:szCs w:val="28"/>
              </w:rPr>
              <w:t>2</w:t>
            </w:r>
            <w:r>
              <w:rPr>
                <w:rFonts w:hint="eastAsia" w:eastAsia="楷体"/>
                <w:sz w:val="24"/>
                <w:szCs w:val="28"/>
              </w:rPr>
              <w:t>.</w:t>
            </w:r>
            <w:r>
              <w:rPr>
                <w:rFonts w:eastAsia="楷体"/>
                <w:sz w:val="24"/>
                <w:szCs w:val="28"/>
              </w:rPr>
              <w:t xml:space="preserve"> </w:t>
            </w:r>
            <w:r>
              <w:rPr>
                <w:rFonts w:hint="eastAsia" w:eastAsia="楷体"/>
                <w:b/>
                <w:bCs/>
                <w:sz w:val="24"/>
                <w:szCs w:val="28"/>
              </w:rPr>
              <w:t>揭示了脉冲电场、糖基化调控异质肉蛋白质功能特性的规律及机制，创建了利用脉冲电场、糖基化改善异质肉品质的技术体系。</w:t>
            </w:r>
          </w:p>
          <w:p>
            <w:pPr>
              <w:spacing w:line="360" w:lineRule="auto"/>
              <w:ind w:firstLine="480" w:firstLineChars="200"/>
              <w:rPr>
                <w:rFonts w:eastAsia="楷体"/>
                <w:sz w:val="24"/>
                <w:szCs w:val="28"/>
              </w:rPr>
            </w:pPr>
            <w:r>
              <w:rPr>
                <w:rFonts w:hint="eastAsia" w:eastAsia="楷体"/>
                <w:sz w:val="24"/>
                <w:szCs w:val="28"/>
              </w:rPr>
              <w:t>项目</w:t>
            </w:r>
            <w:r>
              <w:rPr>
                <w:rFonts w:eastAsia="楷体"/>
                <w:sz w:val="24"/>
                <w:szCs w:val="28"/>
              </w:rPr>
              <w:t>利用电场强度18 kV/cm和脉冲频率800 Hz的脉冲电场可使PSE肉蛋白溶解度提高至95%，凝胶强度提升近90%；利用10 U/g谷氨酰胺转氨酶（MTGase），反应时间6 h，蛋白与葡萄糖胺比例为1：3，可使PSE肉蛋白溶解度提升至70%；利用葡糖胺对PSE肉蛋白（1：6）进行非酶糖基化改性，使肉蛋白凝胶强度和保水性分别提高88%和34%。</w:t>
            </w:r>
          </w:p>
          <w:p>
            <w:pPr>
              <w:spacing w:line="360" w:lineRule="auto"/>
              <w:rPr>
                <w:rFonts w:eastAsia="楷体"/>
                <w:b/>
                <w:bCs/>
                <w:sz w:val="24"/>
                <w:szCs w:val="28"/>
              </w:rPr>
            </w:pPr>
            <w:r>
              <w:rPr>
                <w:rFonts w:hint="eastAsia" w:eastAsia="楷体"/>
                <w:sz w:val="24"/>
                <w:szCs w:val="28"/>
              </w:rPr>
              <w:t>3</w:t>
            </w:r>
            <w:r>
              <w:rPr>
                <w:rFonts w:eastAsia="楷体"/>
                <w:sz w:val="24"/>
                <w:szCs w:val="28"/>
              </w:rPr>
              <w:t xml:space="preserve">. </w:t>
            </w:r>
            <w:r>
              <w:rPr>
                <w:rFonts w:hint="eastAsia" w:eastAsia="楷体"/>
                <w:b/>
                <w:bCs/>
                <w:sz w:val="24"/>
                <w:szCs w:val="28"/>
              </w:rPr>
              <w:t>揭示了肉蛋白-小分子互作的规律及机制，创建了蛋白</w:t>
            </w:r>
            <w:r>
              <w:rPr>
                <w:rFonts w:eastAsia="楷体"/>
                <w:b/>
                <w:bCs/>
                <w:sz w:val="24"/>
                <w:szCs w:val="28"/>
              </w:rPr>
              <w:t>-</w:t>
            </w:r>
            <w:r>
              <w:rPr>
                <w:rFonts w:hint="eastAsia" w:eastAsia="楷体"/>
                <w:b/>
                <w:bCs/>
                <w:sz w:val="24"/>
                <w:szCs w:val="28"/>
              </w:rPr>
              <w:t>多酚互作的调控技术体系，提高了多酚的加载量和抗氧化能力，从而提升了肉制品的品质。</w:t>
            </w:r>
          </w:p>
          <w:p>
            <w:pPr>
              <w:spacing w:line="360" w:lineRule="auto"/>
              <w:ind w:firstLine="480" w:firstLineChars="200"/>
              <w:rPr>
                <w:rFonts w:eastAsia="楷体"/>
                <w:sz w:val="24"/>
                <w:szCs w:val="28"/>
              </w:rPr>
            </w:pPr>
            <w:r>
              <w:rPr>
                <w:rFonts w:hint="eastAsia" w:eastAsia="楷体"/>
                <w:sz w:val="24"/>
                <w:szCs w:val="28"/>
              </w:rPr>
              <w:t>项目研究</w:t>
            </w:r>
            <w:r>
              <w:rPr>
                <w:rFonts w:eastAsia="楷体"/>
                <w:sz w:val="24"/>
                <w:szCs w:val="28"/>
              </w:rPr>
              <w:t>发现</w:t>
            </w:r>
            <w:r>
              <w:rPr>
                <w:rFonts w:hint="eastAsia" w:eastAsia="楷体"/>
                <w:sz w:val="24"/>
                <w:szCs w:val="28"/>
              </w:rPr>
              <w:t>在</w:t>
            </w:r>
            <w:r>
              <w:rPr>
                <w:rFonts w:eastAsia="楷体"/>
                <w:sz w:val="24"/>
                <w:szCs w:val="28"/>
              </w:rPr>
              <w:t>较高盐浓度（0.6 M）</w:t>
            </w:r>
            <w:r>
              <w:rPr>
                <w:rFonts w:hint="eastAsia" w:eastAsia="楷体"/>
                <w:sz w:val="24"/>
                <w:szCs w:val="28"/>
              </w:rPr>
              <w:t>条件下</w:t>
            </w:r>
            <w:r>
              <w:rPr>
                <w:rFonts w:eastAsia="楷体"/>
                <w:sz w:val="24"/>
                <w:szCs w:val="28"/>
              </w:rPr>
              <w:t>，高剂量EGCG（1000 ppm）和RA（300 µM/g）导致肉蛋白凝胶蒸煮损失分别提高9.46</w:t>
            </w:r>
            <w:r>
              <w:rPr>
                <w:rFonts w:hint="eastAsia" w:eastAsia="楷体"/>
                <w:sz w:val="24"/>
                <w:szCs w:val="28"/>
              </w:rPr>
              <w:t>倍和</w:t>
            </w:r>
            <w:r>
              <w:rPr>
                <w:rFonts w:eastAsia="楷体"/>
                <w:sz w:val="24"/>
                <w:szCs w:val="28"/>
              </w:rPr>
              <w:t>44%，使强度分别升高25%</w:t>
            </w:r>
            <w:r>
              <w:rPr>
                <w:rFonts w:hint="eastAsia" w:eastAsia="楷体"/>
                <w:sz w:val="24"/>
                <w:szCs w:val="28"/>
              </w:rPr>
              <w:t>和</w:t>
            </w:r>
            <w:r>
              <w:rPr>
                <w:rFonts w:eastAsia="楷体"/>
                <w:sz w:val="24"/>
                <w:szCs w:val="28"/>
              </w:rPr>
              <w:t>21%。</w:t>
            </w:r>
            <w:r>
              <w:rPr>
                <w:rFonts w:hint="eastAsia" w:eastAsia="楷体"/>
                <w:sz w:val="24"/>
                <w:szCs w:val="28"/>
              </w:rPr>
              <w:t>进一步发现</w:t>
            </w:r>
            <w:r>
              <w:rPr>
                <w:rFonts w:eastAsia="楷体"/>
                <w:sz w:val="24"/>
                <w:szCs w:val="28"/>
              </w:rPr>
              <w:t>β-环糊精</w:t>
            </w:r>
            <w:r>
              <w:rPr>
                <w:rFonts w:hint="eastAsia" w:eastAsia="楷体"/>
                <w:sz w:val="24"/>
                <w:szCs w:val="28"/>
              </w:rPr>
              <w:t>衍生物可以</w:t>
            </w:r>
            <w:r>
              <w:rPr>
                <w:rFonts w:eastAsia="楷体"/>
                <w:sz w:val="24"/>
                <w:szCs w:val="28"/>
              </w:rPr>
              <w:t>使EGCG的加载量提高10倍，使肉蛋白凝胶蒸煮损失分别降低15%、62%和49%，强度改善了20%、39%和36%</w:t>
            </w:r>
            <w:r>
              <w:rPr>
                <w:rFonts w:hint="eastAsia" w:eastAsia="楷体"/>
                <w:sz w:val="24"/>
                <w:szCs w:val="28"/>
              </w:rPr>
              <w:t>。</w:t>
            </w:r>
          </w:p>
          <w:p>
            <w:pPr>
              <w:pStyle w:val="13"/>
              <w:adjustRightInd w:val="0"/>
              <w:snapToGrid w:val="0"/>
              <w:spacing w:line="360" w:lineRule="auto"/>
              <w:ind w:firstLine="0" w:firstLineChars="0"/>
              <w:rPr>
                <w:rFonts w:ascii="Times New Roman" w:hAnsi="Times New Roman" w:eastAsia="楷体"/>
                <w:b/>
                <w:bCs/>
                <w:sz w:val="24"/>
                <w:szCs w:val="28"/>
              </w:rPr>
            </w:pPr>
            <w:r>
              <w:rPr>
                <w:rFonts w:hint="eastAsia" w:ascii="Times New Roman" w:hAnsi="Times New Roman" w:eastAsia="楷体"/>
                <w:b/>
                <w:bCs/>
                <w:sz w:val="24"/>
                <w:szCs w:val="28"/>
              </w:rPr>
              <w:t>4</w:t>
            </w:r>
            <w:r>
              <w:rPr>
                <w:rFonts w:ascii="Times New Roman" w:hAnsi="Times New Roman" w:eastAsia="楷体"/>
                <w:b/>
                <w:bCs/>
                <w:sz w:val="24"/>
                <w:szCs w:val="28"/>
              </w:rPr>
              <w:t xml:space="preserve">. </w:t>
            </w:r>
            <w:r>
              <w:rPr>
                <w:rFonts w:hint="eastAsia" w:ascii="Times New Roman" w:hAnsi="Times New Roman" w:eastAsia="楷体"/>
                <w:b/>
                <w:bCs/>
                <w:sz w:val="24"/>
                <w:szCs w:val="28"/>
              </w:rPr>
              <w:t>揭示了变压加速腌制液在原料肉肌纤维束中定向渗透迁移的动力学机制，研制了高效的静态变压腌制技术，提升了腌制的均匀性。</w:t>
            </w:r>
          </w:p>
          <w:p>
            <w:pPr>
              <w:pStyle w:val="13"/>
              <w:adjustRightInd w:val="0"/>
              <w:snapToGrid w:val="0"/>
              <w:spacing w:line="360" w:lineRule="auto"/>
              <w:ind w:firstLine="480"/>
              <w:rPr>
                <w:rFonts w:ascii="Times New Roman" w:hAnsi="Times New Roman" w:eastAsia="楷体"/>
                <w:sz w:val="24"/>
                <w:szCs w:val="28"/>
              </w:rPr>
            </w:pPr>
            <w:r>
              <w:rPr>
                <w:rFonts w:hint="eastAsia" w:ascii="Times New Roman" w:hAnsi="Times New Roman" w:eastAsia="楷体"/>
                <w:sz w:val="24"/>
                <w:szCs w:val="28"/>
              </w:rPr>
              <w:t>项目发现原料肉与腌制液配比10:1~10:1.5、脉冲变压-0.07 MPa→0.16 MPa→-0.07 MPa、变压周期17 min→15 min，较静态腌制效率提高33%，均匀度提高42.6%，盐溶性蛋白提高了6</w:t>
            </w:r>
            <w:r>
              <w:rPr>
                <w:rFonts w:ascii="Times New Roman" w:hAnsi="Times New Roman" w:eastAsia="楷体"/>
                <w:sz w:val="24"/>
                <w:szCs w:val="28"/>
              </w:rPr>
              <w:t>%</w:t>
            </w:r>
            <w:r>
              <w:rPr>
                <w:rFonts w:hint="eastAsia" w:ascii="Times New Roman" w:hAnsi="Times New Roman" w:eastAsia="楷体"/>
                <w:sz w:val="24"/>
                <w:szCs w:val="28"/>
              </w:rPr>
              <w:t>-15%；发明了静态变压腌制装置，研发了集成腌制液配制-原辅料混合-脉冲变压腌制为一体的腌制程序，实现定量加料、自动混合、均匀腌制、静态保型。</w:t>
            </w:r>
          </w:p>
          <w:p>
            <w:pPr>
              <w:spacing w:line="360" w:lineRule="auto"/>
              <w:jc w:val="left"/>
              <w:rPr>
                <w:rFonts w:eastAsia="楷体"/>
                <w:b/>
                <w:bCs/>
                <w:sz w:val="24"/>
                <w:szCs w:val="28"/>
              </w:rPr>
            </w:pPr>
            <w:r>
              <w:rPr>
                <w:rFonts w:eastAsia="楷体"/>
                <w:b/>
                <w:bCs/>
                <w:sz w:val="24"/>
                <w:szCs w:val="28"/>
              </w:rPr>
              <w:t xml:space="preserve">5. </w:t>
            </w:r>
            <w:r>
              <w:rPr>
                <w:rFonts w:hint="eastAsia" w:eastAsia="楷体"/>
                <w:b/>
                <w:bCs/>
                <w:sz w:val="24"/>
                <w:szCs w:val="28"/>
              </w:rPr>
              <w:t>揭示了小分子还原糖—肉蛋白互作的规律及机制，创建了利用液态糖基化方法提升肉品风味品质的调控技术体系</w:t>
            </w:r>
          </w:p>
          <w:p>
            <w:pPr>
              <w:spacing w:line="360" w:lineRule="auto"/>
              <w:ind w:firstLine="480" w:firstLineChars="200"/>
              <w:rPr>
                <w:rFonts w:eastAsia="楷体"/>
                <w:sz w:val="24"/>
                <w:szCs w:val="28"/>
              </w:rPr>
            </w:pPr>
            <w:r>
              <w:rPr>
                <w:rFonts w:hint="eastAsia" w:eastAsia="楷体"/>
                <w:sz w:val="24"/>
                <w:szCs w:val="28"/>
              </w:rPr>
              <w:t>项目研究发现糖基化修饰可以使肉蛋白的结构展开，抑制热诱导聚集，暴露更多的风味结合位点，使肉蛋白对醛类风味物质的吸附能力提高了20%-30%，其中蛋白对庚醛和壬醛的结合能力可分别达到53%和6</w:t>
            </w:r>
            <w:r>
              <w:rPr>
                <w:rFonts w:eastAsia="楷体"/>
                <w:sz w:val="24"/>
                <w:szCs w:val="28"/>
              </w:rPr>
              <w:t>1</w:t>
            </w:r>
            <w:r>
              <w:rPr>
                <w:rFonts w:hint="eastAsia" w:eastAsia="楷体"/>
                <w:sz w:val="24"/>
                <w:szCs w:val="28"/>
              </w:rPr>
              <w:t>%。</w:t>
            </w:r>
          </w:p>
          <w:p>
            <w:pPr>
              <w:spacing w:line="360" w:lineRule="auto"/>
              <w:jc w:val="left"/>
              <w:rPr>
                <w:rFonts w:eastAsia="楷体"/>
                <w:b/>
                <w:bCs/>
                <w:sz w:val="24"/>
                <w:szCs w:val="28"/>
              </w:rPr>
            </w:pPr>
            <w:r>
              <w:rPr>
                <w:rFonts w:eastAsia="楷体"/>
                <w:b/>
                <w:bCs/>
                <w:sz w:val="24"/>
                <w:szCs w:val="28"/>
              </w:rPr>
              <w:t>6</w:t>
            </w:r>
            <w:r>
              <w:rPr>
                <w:rFonts w:hint="eastAsia" w:eastAsia="楷体"/>
                <w:b/>
                <w:bCs/>
                <w:sz w:val="24"/>
                <w:szCs w:val="28"/>
              </w:rPr>
              <w:t>. 揭示了肉蛋白-天然纤维素/胞外蛋白互作的规律及机制，创建了利用天然纤维/胞外蛋白调控低脂肉品品质的技术体系。</w:t>
            </w:r>
          </w:p>
          <w:p>
            <w:pPr>
              <w:spacing w:line="360" w:lineRule="auto"/>
              <w:ind w:firstLine="480" w:firstLineChars="200"/>
              <w:rPr>
                <w:rFonts w:eastAsia="楷体"/>
                <w:sz w:val="24"/>
                <w:szCs w:val="28"/>
              </w:rPr>
            </w:pPr>
            <w:r>
              <w:rPr>
                <w:rFonts w:hint="eastAsia" w:eastAsia="楷体"/>
                <w:sz w:val="24"/>
                <w:szCs w:val="28"/>
              </w:rPr>
              <w:t>项目利用1</w:t>
            </w:r>
            <w:r>
              <w:rPr>
                <w:rFonts w:eastAsia="楷体"/>
                <w:sz w:val="24"/>
                <w:szCs w:val="28"/>
              </w:rPr>
              <w:t>%</w:t>
            </w:r>
            <w:r>
              <w:rPr>
                <w:rFonts w:hint="eastAsia" w:eastAsia="楷体"/>
                <w:sz w:val="24"/>
                <w:szCs w:val="28"/>
              </w:rPr>
              <w:t>的纳米细菌纤维素使肉糜凝胶的蒸煮损失降低1</w:t>
            </w:r>
            <w:r>
              <w:rPr>
                <w:rFonts w:eastAsia="楷体"/>
                <w:sz w:val="24"/>
                <w:szCs w:val="28"/>
              </w:rPr>
              <w:t>7</w:t>
            </w:r>
            <w:r>
              <w:rPr>
                <w:rFonts w:hint="eastAsia" w:eastAsia="楷体"/>
                <w:sz w:val="24"/>
                <w:szCs w:val="28"/>
              </w:rPr>
              <w:t>%，硬度提升</w:t>
            </w:r>
            <w:r>
              <w:rPr>
                <w:rFonts w:eastAsia="楷体"/>
                <w:sz w:val="24"/>
                <w:szCs w:val="28"/>
              </w:rPr>
              <w:t>81</w:t>
            </w:r>
            <w:r>
              <w:rPr>
                <w:rFonts w:hint="eastAsia" w:eastAsia="楷体"/>
                <w:sz w:val="24"/>
                <w:szCs w:val="28"/>
              </w:rPr>
              <w:t>%。利用4%的菊粉将低脂乳化肠的蒸煮损失降低至</w:t>
            </w:r>
            <w:r>
              <w:rPr>
                <w:rFonts w:eastAsia="楷体"/>
                <w:sz w:val="24"/>
                <w:szCs w:val="28"/>
              </w:rPr>
              <w:t>1.5%</w:t>
            </w:r>
            <w:r>
              <w:rPr>
                <w:rFonts w:hint="eastAsia" w:eastAsia="楷体"/>
                <w:sz w:val="24"/>
                <w:szCs w:val="28"/>
              </w:rPr>
              <w:t>，硬度提升</w:t>
            </w:r>
            <w:r>
              <w:rPr>
                <w:rFonts w:eastAsia="楷体"/>
                <w:sz w:val="24"/>
                <w:szCs w:val="28"/>
              </w:rPr>
              <w:t>32%</w:t>
            </w:r>
            <w:r>
              <w:rPr>
                <w:rFonts w:hint="eastAsia" w:eastAsia="楷体"/>
                <w:sz w:val="24"/>
                <w:szCs w:val="28"/>
              </w:rPr>
              <w:t>。</w:t>
            </w:r>
            <w:bookmarkStart w:id="0" w:name="_Hlk105446982"/>
            <w:r>
              <w:rPr>
                <w:rFonts w:hint="eastAsia" w:eastAsia="楷体"/>
                <w:sz w:val="24"/>
                <w:szCs w:val="28"/>
              </w:rPr>
              <w:t>利用0.1 g/kg胞外蛋白（BslA）可将蒸煮损失降低</w:t>
            </w:r>
            <w:r>
              <w:rPr>
                <w:rFonts w:eastAsia="楷体"/>
                <w:sz w:val="24"/>
                <w:szCs w:val="28"/>
              </w:rPr>
              <w:t>38.7</w:t>
            </w:r>
            <w:r>
              <w:rPr>
                <w:rFonts w:hint="eastAsia" w:eastAsia="楷体"/>
                <w:sz w:val="24"/>
                <w:szCs w:val="28"/>
              </w:rPr>
              <w:t>%。</w:t>
            </w:r>
          </w:p>
          <w:bookmarkEnd w:id="0"/>
          <w:p>
            <w:pPr>
              <w:spacing w:line="360" w:lineRule="auto"/>
              <w:jc w:val="left"/>
              <w:rPr>
                <w:rFonts w:eastAsia="楷体"/>
                <w:b/>
                <w:bCs/>
                <w:sz w:val="24"/>
                <w:szCs w:val="28"/>
              </w:rPr>
            </w:pPr>
            <w:r>
              <w:rPr>
                <w:rFonts w:eastAsia="楷体"/>
                <w:b/>
                <w:bCs/>
                <w:sz w:val="24"/>
                <w:szCs w:val="28"/>
              </w:rPr>
              <w:t>7</w:t>
            </w:r>
            <w:r>
              <w:rPr>
                <w:rFonts w:hint="eastAsia" w:eastAsia="楷体"/>
                <w:b/>
                <w:bCs/>
                <w:sz w:val="24"/>
                <w:szCs w:val="28"/>
              </w:rPr>
              <w:t xml:space="preserve">. </w:t>
            </w:r>
            <w:bookmarkStart w:id="1" w:name="_Hlk105447107"/>
            <w:r>
              <w:rPr>
                <w:rFonts w:hint="eastAsia" w:eastAsia="楷体"/>
                <w:b/>
                <w:bCs/>
                <w:sz w:val="24"/>
                <w:szCs w:val="28"/>
              </w:rPr>
              <w:t>揭示了超高压对肉蛋白功能特性的影响规律及机制，</w:t>
            </w:r>
            <w:bookmarkEnd w:id="1"/>
            <w:bookmarkStart w:id="2" w:name="_Hlk105447133"/>
            <w:r>
              <w:rPr>
                <w:rFonts w:hint="eastAsia" w:eastAsia="楷体"/>
                <w:b/>
                <w:bCs/>
                <w:sz w:val="24"/>
                <w:szCs w:val="28"/>
              </w:rPr>
              <w:t>创建了利用超高压调控低盐低脂肉品品质的技术体系。</w:t>
            </w:r>
          </w:p>
          <w:bookmarkEnd w:id="2"/>
          <w:p>
            <w:pPr>
              <w:spacing w:line="360" w:lineRule="auto"/>
              <w:ind w:firstLine="480" w:firstLineChars="200"/>
            </w:pPr>
            <w:bookmarkStart w:id="3" w:name="_Hlk105447094"/>
            <w:r>
              <w:rPr>
                <w:rFonts w:hint="eastAsia" w:eastAsia="楷体"/>
                <w:sz w:val="24"/>
                <w:szCs w:val="28"/>
              </w:rPr>
              <w:t>项目研究发现超高压处理</w:t>
            </w:r>
            <w:r>
              <w:rPr>
                <w:rFonts w:hint="eastAsia" w:eastAsia="楷体"/>
                <w:color w:val="auto"/>
                <w:sz w:val="24"/>
                <w:szCs w:val="28"/>
              </w:rPr>
              <w:t>可使乳化肠中脂肪含量降低1.5倍，食盐含量降低2倍。经适度超高压（200 MPa）处理后，乳液界面肉蛋白溶解度增加至92.28%，提高了1倍；肉蛋白的乳化稳定性和乳</w:t>
            </w:r>
            <w:r>
              <w:rPr>
                <w:rFonts w:hint="eastAsia" w:eastAsia="楷体"/>
                <w:sz w:val="24"/>
                <w:szCs w:val="28"/>
              </w:rPr>
              <w:t>化活性达68.12%和76.89%，分别提升了近1倍和7倍；肉糜凝胶的蒸煮损失降低了6</w:t>
            </w:r>
            <w:r>
              <w:rPr>
                <w:rFonts w:eastAsia="楷体"/>
                <w:sz w:val="24"/>
                <w:szCs w:val="28"/>
              </w:rPr>
              <w:t>1.90</w:t>
            </w:r>
            <w:r>
              <w:rPr>
                <w:rFonts w:hint="eastAsia" w:eastAsia="楷体"/>
                <w:sz w:val="24"/>
                <w:szCs w:val="28"/>
              </w:rPr>
              <w:t>%。此外，采用适度的超高压（300 MPa，9 mi</w:t>
            </w:r>
            <w:r>
              <w:rPr>
                <w:rFonts w:eastAsia="楷体"/>
                <w:sz w:val="24"/>
                <w:szCs w:val="28"/>
              </w:rPr>
              <w:t>n，25℃）</w:t>
            </w:r>
            <w:r>
              <w:rPr>
                <w:rFonts w:hint="eastAsia" w:eastAsia="楷体"/>
                <w:sz w:val="24"/>
                <w:szCs w:val="28"/>
              </w:rPr>
              <w:t>可将蛋白在外消化模型中口腔、胃和肠道消化率分别提高了</w:t>
            </w:r>
            <w:bookmarkStart w:id="4" w:name="_GoBack"/>
            <w:bookmarkEnd w:id="4"/>
            <w:r>
              <w:rPr>
                <w:rFonts w:hint="eastAsia" w:eastAsia="楷体"/>
                <w:sz w:val="24"/>
                <w:szCs w:val="28"/>
              </w:rPr>
              <w:t>50.0%、66.7%和37.1%。</w:t>
            </w:r>
          </w:p>
          <w:p>
            <w:pPr>
              <w:spacing w:line="360" w:lineRule="auto"/>
              <w:rPr>
                <w:rFonts w:eastAsia="楷体"/>
                <w:sz w:val="24"/>
                <w:szCs w:val="28"/>
              </w:rPr>
            </w:pPr>
          </w:p>
          <w:bookmarkEnd w:id="3"/>
          <w:p>
            <w:pPr>
              <w:spacing w:line="360" w:lineRule="auto"/>
              <w:ind w:firstLine="420" w:firstLineChars="200"/>
              <w:rPr>
                <w:rFonts w:hAnsi="仿宋_GB2312" w:eastAsia="仿宋_GB2312"/>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1YjUwNDZiOTBhNGViMDA0OTY3YTk5ODg0NDJhMDcifQ=="/>
  </w:docVars>
  <w:rsids>
    <w:rsidRoot w:val="00740831"/>
    <w:rsid w:val="000157FC"/>
    <w:rsid w:val="00015F52"/>
    <w:rsid w:val="00017317"/>
    <w:rsid w:val="000229EF"/>
    <w:rsid w:val="00025A12"/>
    <w:rsid w:val="000308AB"/>
    <w:rsid w:val="00034348"/>
    <w:rsid w:val="00035681"/>
    <w:rsid w:val="000409DD"/>
    <w:rsid w:val="00045552"/>
    <w:rsid w:val="00046FAF"/>
    <w:rsid w:val="00053381"/>
    <w:rsid w:val="000563E7"/>
    <w:rsid w:val="00062D88"/>
    <w:rsid w:val="0006433C"/>
    <w:rsid w:val="00065555"/>
    <w:rsid w:val="000702DA"/>
    <w:rsid w:val="00070E87"/>
    <w:rsid w:val="0007180A"/>
    <w:rsid w:val="00071AC6"/>
    <w:rsid w:val="0007249B"/>
    <w:rsid w:val="00072A1B"/>
    <w:rsid w:val="00077141"/>
    <w:rsid w:val="00081725"/>
    <w:rsid w:val="0008306E"/>
    <w:rsid w:val="00087577"/>
    <w:rsid w:val="00091FBB"/>
    <w:rsid w:val="00094A31"/>
    <w:rsid w:val="000A1564"/>
    <w:rsid w:val="000A2B18"/>
    <w:rsid w:val="000A43C7"/>
    <w:rsid w:val="000A58AD"/>
    <w:rsid w:val="000A5EF0"/>
    <w:rsid w:val="000A66B5"/>
    <w:rsid w:val="000A7FD0"/>
    <w:rsid w:val="000C0992"/>
    <w:rsid w:val="000C1082"/>
    <w:rsid w:val="000C1D37"/>
    <w:rsid w:val="000D1201"/>
    <w:rsid w:val="000D3EB3"/>
    <w:rsid w:val="000D5329"/>
    <w:rsid w:val="000D6F94"/>
    <w:rsid w:val="000E3AE2"/>
    <w:rsid w:val="00103BCF"/>
    <w:rsid w:val="00103D14"/>
    <w:rsid w:val="00105DE8"/>
    <w:rsid w:val="001146F1"/>
    <w:rsid w:val="00117002"/>
    <w:rsid w:val="00123FC3"/>
    <w:rsid w:val="00124389"/>
    <w:rsid w:val="001264DA"/>
    <w:rsid w:val="001305FF"/>
    <w:rsid w:val="00132069"/>
    <w:rsid w:val="00137B84"/>
    <w:rsid w:val="00144726"/>
    <w:rsid w:val="00146F02"/>
    <w:rsid w:val="00150B66"/>
    <w:rsid w:val="00151895"/>
    <w:rsid w:val="00151EE4"/>
    <w:rsid w:val="00152026"/>
    <w:rsid w:val="00152A7C"/>
    <w:rsid w:val="001540AC"/>
    <w:rsid w:val="001559D9"/>
    <w:rsid w:val="00156844"/>
    <w:rsid w:val="0016157B"/>
    <w:rsid w:val="00165E23"/>
    <w:rsid w:val="0017135D"/>
    <w:rsid w:val="00173461"/>
    <w:rsid w:val="00177A9B"/>
    <w:rsid w:val="00186D7A"/>
    <w:rsid w:val="001959D9"/>
    <w:rsid w:val="0019680E"/>
    <w:rsid w:val="001A1258"/>
    <w:rsid w:val="001A1AE9"/>
    <w:rsid w:val="001B1137"/>
    <w:rsid w:val="001B2006"/>
    <w:rsid w:val="001B5AB1"/>
    <w:rsid w:val="001B7697"/>
    <w:rsid w:val="001C36C8"/>
    <w:rsid w:val="001C63B0"/>
    <w:rsid w:val="001D2ADD"/>
    <w:rsid w:val="001D2B1A"/>
    <w:rsid w:val="001E3006"/>
    <w:rsid w:val="001E33A8"/>
    <w:rsid w:val="001E6530"/>
    <w:rsid w:val="001E7C1D"/>
    <w:rsid w:val="001F279A"/>
    <w:rsid w:val="00206630"/>
    <w:rsid w:val="002066F8"/>
    <w:rsid w:val="00215357"/>
    <w:rsid w:val="00217CD7"/>
    <w:rsid w:val="00217EB0"/>
    <w:rsid w:val="0022048B"/>
    <w:rsid w:val="00221B74"/>
    <w:rsid w:val="00230C25"/>
    <w:rsid w:val="00230F5C"/>
    <w:rsid w:val="00231901"/>
    <w:rsid w:val="00241B06"/>
    <w:rsid w:val="002455C1"/>
    <w:rsid w:val="0024642A"/>
    <w:rsid w:val="00255E51"/>
    <w:rsid w:val="00256A8B"/>
    <w:rsid w:val="00261C86"/>
    <w:rsid w:val="0026400A"/>
    <w:rsid w:val="00272952"/>
    <w:rsid w:val="00273809"/>
    <w:rsid w:val="002760D5"/>
    <w:rsid w:val="00276F81"/>
    <w:rsid w:val="00281520"/>
    <w:rsid w:val="00287C40"/>
    <w:rsid w:val="00290716"/>
    <w:rsid w:val="002914FD"/>
    <w:rsid w:val="00294F38"/>
    <w:rsid w:val="002A046B"/>
    <w:rsid w:val="002A370E"/>
    <w:rsid w:val="002A7509"/>
    <w:rsid w:val="002A77D0"/>
    <w:rsid w:val="002A784C"/>
    <w:rsid w:val="002C5604"/>
    <w:rsid w:val="002C6850"/>
    <w:rsid w:val="002C7B17"/>
    <w:rsid w:val="002D022E"/>
    <w:rsid w:val="002D116D"/>
    <w:rsid w:val="002D3B0F"/>
    <w:rsid w:val="002D56C3"/>
    <w:rsid w:val="002F2B79"/>
    <w:rsid w:val="002F67A7"/>
    <w:rsid w:val="00307940"/>
    <w:rsid w:val="00310075"/>
    <w:rsid w:val="00313FED"/>
    <w:rsid w:val="00316B3D"/>
    <w:rsid w:val="003201C6"/>
    <w:rsid w:val="00322AD8"/>
    <w:rsid w:val="003235C8"/>
    <w:rsid w:val="00332A0F"/>
    <w:rsid w:val="00335582"/>
    <w:rsid w:val="00341836"/>
    <w:rsid w:val="003514F0"/>
    <w:rsid w:val="00355D1C"/>
    <w:rsid w:val="003640FE"/>
    <w:rsid w:val="00367365"/>
    <w:rsid w:val="0037569F"/>
    <w:rsid w:val="0038138E"/>
    <w:rsid w:val="00381B1A"/>
    <w:rsid w:val="0039041F"/>
    <w:rsid w:val="00393FE1"/>
    <w:rsid w:val="003977E6"/>
    <w:rsid w:val="003A085D"/>
    <w:rsid w:val="003B5283"/>
    <w:rsid w:val="003C7308"/>
    <w:rsid w:val="003E5166"/>
    <w:rsid w:val="003E572F"/>
    <w:rsid w:val="003F69EB"/>
    <w:rsid w:val="004009DB"/>
    <w:rsid w:val="00401D29"/>
    <w:rsid w:val="00401F68"/>
    <w:rsid w:val="00414D64"/>
    <w:rsid w:val="00420236"/>
    <w:rsid w:val="00420327"/>
    <w:rsid w:val="004203F3"/>
    <w:rsid w:val="004328CA"/>
    <w:rsid w:val="00434C4F"/>
    <w:rsid w:val="00434CDB"/>
    <w:rsid w:val="0043596E"/>
    <w:rsid w:val="00453645"/>
    <w:rsid w:val="00453E74"/>
    <w:rsid w:val="00463F74"/>
    <w:rsid w:val="00466A5E"/>
    <w:rsid w:val="00466FDF"/>
    <w:rsid w:val="00473764"/>
    <w:rsid w:val="0047701B"/>
    <w:rsid w:val="00486460"/>
    <w:rsid w:val="00492EEC"/>
    <w:rsid w:val="004942AE"/>
    <w:rsid w:val="00497A94"/>
    <w:rsid w:val="004A0865"/>
    <w:rsid w:val="004A0D27"/>
    <w:rsid w:val="004A2902"/>
    <w:rsid w:val="004A6FDD"/>
    <w:rsid w:val="004C1602"/>
    <w:rsid w:val="004C28E8"/>
    <w:rsid w:val="004C4DE9"/>
    <w:rsid w:val="004C6AD8"/>
    <w:rsid w:val="004D0311"/>
    <w:rsid w:val="004D171D"/>
    <w:rsid w:val="004D1A25"/>
    <w:rsid w:val="004D2FFF"/>
    <w:rsid w:val="004D50F3"/>
    <w:rsid w:val="004D59C7"/>
    <w:rsid w:val="004E130F"/>
    <w:rsid w:val="00501019"/>
    <w:rsid w:val="0050200A"/>
    <w:rsid w:val="00502FAC"/>
    <w:rsid w:val="00506BD4"/>
    <w:rsid w:val="005143D4"/>
    <w:rsid w:val="00514637"/>
    <w:rsid w:val="00521F2F"/>
    <w:rsid w:val="005268DF"/>
    <w:rsid w:val="005301EE"/>
    <w:rsid w:val="005437EF"/>
    <w:rsid w:val="00565141"/>
    <w:rsid w:val="005665AC"/>
    <w:rsid w:val="005730D8"/>
    <w:rsid w:val="005768FF"/>
    <w:rsid w:val="00584BAE"/>
    <w:rsid w:val="0058503B"/>
    <w:rsid w:val="005870A3"/>
    <w:rsid w:val="00592B48"/>
    <w:rsid w:val="00592C7A"/>
    <w:rsid w:val="00595953"/>
    <w:rsid w:val="005A1324"/>
    <w:rsid w:val="005A3D18"/>
    <w:rsid w:val="005A6BF1"/>
    <w:rsid w:val="005A7111"/>
    <w:rsid w:val="005B397B"/>
    <w:rsid w:val="005B7E30"/>
    <w:rsid w:val="005C3F0A"/>
    <w:rsid w:val="005C5E7D"/>
    <w:rsid w:val="005C79D4"/>
    <w:rsid w:val="005D686D"/>
    <w:rsid w:val="005D73B0"/>
    <w:rsid w:val="005D78B1"/>
    <w:rsid w:val="005E7541"/>
    <w:rsid w:val="005E7A9A"/>
    <w:rsid w:val="005F049D"/>
    <w:rsid w:val="005F0C99"/>
    <w:rsid w:val="005F1A8C"/>
    <w:rsid w:val="005F7DB2"/>
    <w:rsid w:val="00604F3D"/>
    <w:rsid w:val="0062432F"/>
    <w:rsid w:val="00625306"/>
    <w:rsid w:val="00625B0D"/>
    <w:rsid w:val="0062612B"/>
    <w:rsid w:val="00633EAF"/>
    <w:rsid w:val="00634556"/>
    <w:rsid w:val="0063643D"/>
    <w:rsid w:val="00645F16"/>
    <w:rsid w:val="0065637A"/>
    <w:rsid w:val="0066680F"/>
    <w:rsid w:val="00667C16"/>
    <w:rsid w:val="00680D02"/>
    <w:rsid w:val="00681A3E"/>
    <w:rsid w:val="00690979"/>
    <w:rsid w:val="006935F4"/>
    <w:rsid w:val="00695043"/>
    <w:rsid w:val="006A1948"/>
    <w:rsid w:val="006A3F72"/>
    <w:rsid w:val="006A7AA8"/>
    <w:rsid w:val="006B1A27"/>
    <w:rsid w:val="006B296C"/>
    <w:rsid w:val="006B7E2E"/>
    <w:rsid w:val="006C0C48"/>
    <w:rsid w:val="006C2430"/>
    <w:rsid w:val="006C3405"/>
    <w:rsid w:val="006C78C3"/>
    <w:rsid w:val="006D6E85"/>
    <w:rsid w:val="006E291D"/>
    <w:rsid w:val="006E7CDA"/>
    <w:rsid w:val="006F03D9"/>
    <w:rsid w:val="006F2BD9"/>
    <w:rsid w:val="006F526C"/>
    <w:rsid w:val="006F683E"/>
    <w:rsid w:val="00701E6B"/>
    <w:rsid w:val="00703421"/>
    <w:rsid w:val="00703EA2"/>
    <w:rsid w:val="0071278A"/>
    <w:rsid w:val="00717C01"/>
    <w:rsid w:val="00720DDA"/>
    <w:rsid w:val="007269C3"/>
    <w:rsid w:val="00726ABB"/>
    <w:rsid w:val="00727725"/>
    <w:rsid w:val="00732979"/>
    <w:rsid w:val="00733025"/>
    <w:rsid w:val="007336B1"/>
    <w:rsid w:val="00740831"/>
    <w:rsid w:val="00740F68"/>
    <w:rsid w:val="00743144"/>
    <w:rsid w:val="007523E9"/>
    <w:rsid w:val="00765FD7"/>
    <w:rsid w:val="00766CAF"/>
    <w:rsid w:val="00767A8C"/>
    <w:rsid w:val="007802B3"/>
    <w:rsid w:val="00780302"/>
    <w:rsid w:val="007847B5"/>
    <w:rsid w:val="007927FB"/>
    <w:rsid w:val="00795001"/>
    <w:rsid w:val="007969CE"/>
    <w:rsid w:val="00796C3F"/>
    <w:rsid w:val="0079720C"/>
    <w:rsid w:val="007A27EA"/>
    <w:rsid w:val="007A4729"/>
    <w:rsid w:val="007A4BF9"/>
    <w:rsid w:val="007A6680"/>
    <w:rsid w:val="007B0A4C"/>
    <w:rsid w:val="007B2877"/>
    <w:rsid w:val="007B7E38"/>
    <w:rsid w:val="007C32F3"/>
    <w:rsid w:val="007D0E6F"/>
    <w:rsid w:val="007D3EA3"/>
    <w:rsid w:val="007D5054"/>
    <w:rsid w:val="007D7026"/>
    <w:rsid w:val="007E11C0"/>
    <w:rsid w:val="007E279A"/>
    <w:rsid w:val="007E59D2"/>
    <w:rsid w:val="007F4ACB"/>
    <w:rsid w:val="007F5A9E"/>
    <w:rsid w:val="0080054F"/>
    <w:rsid w:val="008014C3"/>
    <w:rsid w:val="00802E4F"/>
    <w:rsid w:val="00803A07"/>
    <w:rsid w:val="0082278F"/>
    <w:rsid w:val="008227A7"/>
    <w:rsid w:val="00825E14"/>
    <w:rsid w:val="00830E88"/>
    <w:rsid w:val="008358A9"/>
    <w:rsid w:val="00840E02"/>
    <w:rsid w:val="008509F4"/>
    <w:rsid w:val="00856B91"/>
    <w:rsid w:val="0086186E"/>
    <w:rsid w:val="00867839"/>
    <w:rsid w:val="00871A1E"/>
    <w:rsid w:val="00871E73"/>
    <w:rsid w:val="00877A72"/>
    <w:rsid w:val="00877AE6"/>
    <w:rsid w:val="00881E74"/>
    <w:rsid w:val="00887F5B"/>
    <w:rsid w:val="008950DA"/>
    <w:rsid w:val="008A216F"/>
    <w:rsid w:val="008A389B"/>
    <w:rsid w:val="008A785E"/>
    <w:rsid w:val="008B52C9"/>
    <w:rsid w:val="008B7D14"/>
    <w:rsid w:val="008D303C"/>
    <w:rsid w:val="008D534D"/>
    <w:rsid w:val="008D6DCD"/>
    <w:rsid w:val="008E0CFD"/>
    <w:rsid w:val="008E1C11"/>
    <w:rsid w:val="008E2214"/>
    <w:rsid w:val="008E3F9A"/>
    <w:rsid w:val="008E5821"/>
    <w:rsid w:val="008E5CEA"/>
    <w:rsid w:val="008F1E70"/>
    <w:rsid w:val="008F2D47"/>
    <w:rsid w:val="008F5C32"/>
    <w:rsid w:val="008F6B21"/>
    <w:rsid w:val="008F7BF3"/>
    <w:rsid w:val="0090094D"/>
    <w:rsid w:val="00900CBC"/>
    <w:rsid w:val="009023AA"/>
    <w:rsid w:val="009033CF"/>
    <w:rsid w:val="00910738"/>
    <w:rsid w:val="00911ACE"/>
    <w:rsid w:val="00920B5A"/>
    <w:rsid w:val="00924192"/>
    <w:rsid w:val="009259DF"/>
    <w:rsid w:val="00927DF0"/>
    <w:rsid w:val="00934D25"/>
    <w:rsid w:val="0093604A"/>
    <w:rsid w:val="009427A8"/>
    <w:rsid w:val="009501CF"/>
    <w:rsid w:val="00953CB9"/>
    <w:rsid w:val="00955C4A"/>
    <w:rsid w:val="009656A9"/>
    <w:rsid w:val="00983240"/>
    <w:rsid w:val="00990A66"/>
    <w:rsid w:val="00993E47"/>
    <w:rsid w:val="00995BC8"/>
    <w:rsid w:val="009A076B"/>
    <w:rsid w:val="009A24DF"/>
    <w:rsid w:val="009A3AEA"/>
    <w:rsid w:val="009A46D0"/>
    <w:rsid w:val="009B1F34"/>
    <w:rsid w:val="009B417F"/>
    <w:rsid w:val="009C31A8"/>
    <w:rsid w:val="009C57E1"/>
    <w:rsid w:val="009C5F35"/>
    <w:rsid w:val="009C7F8B"/>
    <w:rsid w:val="009D5E91"/>
    <w:rsid w:val="009E239A"/>
    <w:rsid w:val="009E4B4D"/>
    <w:rsid w:val="009E55C0"/>
    <w:rsid w:val="009E6F9E"/>
    <w:rsid w:val="009F171E"/>
    <w:rsid w:val="009F2F1A"/>
    <w:rsid w:val="00A03D95"/>
    <w:rsid w:val="00A03DD1"/>
    <w:rsid w:val="00A03F59"/>
    <w:rsid w:val="00A0786C"/>
    <w:rsid w:val="00A14433"/>
    <w:rsid w:val="00A16801"/>
    <w:rsid w:val="00A21071"/>
    <w:rsid w:val="00A21164"/>
    <w:rsid w:val="00A21B71"/>
    <w:rsid w:val="00A31ECC"/>
    <w:rsid w:val="00A3332C"/>
    <w:rsid w:val="00A34866"/>
    <w:rsid w:val="00A44913"/>
    <w:rsid w:val="00A67D45"/>
    <w:rsid w:val="00A7300B"/>
    <w:rsid w:val="00A7774F"/>
    <w:rsid w:val="00A825AD"/>
    <w:rsid w:val="00A850D3"/>
    <w:rsid w:val="00A85150"/>
    <w:rsid w:val="00A85B94"/>
    <w:rsid w:val="00AA176B"/>
    <w:rsid w:val="00AA4B51"/>
    <w:rsid w:val="00AB1E77"/>
    <w:rsid w:val="00AB54C8"/>
    <w:rsid w:val="00AB6123"/>
    <w:rsid w:val="00AB6771"/>
    <w:rsid w:val="00AC169A"/>
    <w:rsid w:val="00AD22CF"/>
    <w:rsid w:val="00AD717F"/>
    <w:rsid w:val="00AE2FCF"/>
    <w:rsid w:val="00AF19E7"/>
    <w:rsid w:val="00AF5542"/>
    <w:rsid w:val="00AF699C"/>
    <w:rsid w:val="00B01D6E"/>
    <w:rsid w:val="00B02976"/>
    <w:rsid w:val="00B033D7"/>
    <w:rsid w:val="00B1088C"/>
    <w:rsid w:val="00B14A67"/>
    <w:rsid w:val="00B1599B"/>
    <w:rsid w:val="00B21E3D"/>
    <w:rsid w:val="00B30864"/>
    <w:rsid w:val="00B30911"/>
    <w:rsid w:val="00B3339A"/>
    <w:rsid w:val="00B510BA"/>
    <w:rsid w:val="00B5323E"/>
    <w:rsid w:val="00B56804"/>
    <w:rsid w:val="00B56BCC"/>
    <w:rsid w:val="00B666FF"/>
    <w:rsid w:val="00B70BFB"/>
    <w:rsid w:val="00B7625C"/>
    <w:rsid w:val="00B80FD5"/>
    <w:rsid w:val="00B84BC1"/>
    <w:rsid w:val="00B86AFF"/>
    <w:rsid w:val="00B91074"/>
    <w:rsid w:val="00B923D7"/>
    <w:rsid w:val="00B977AD"/>
    <w:rsid w:val="00BA221C"/>
    <w:rsid w:val="00BA2F1C"/>
    <w:rsid w:val="00BB30EF"/>
    <w:rsid w:val="00BB4EEB"/>
    <w:rsid w:val="00BB5D4E"/>
    <w:rsid w:val="00BC33D7"/>
    <w:rsid w:val="00BC4420"/>
    <w:rsid w:val="00BC4DAC"/>
    <w:rsid w:val="00BD0015"/>
    <w:rsid w:val="00BD337A"/>
    <w:rsid w:val="00BD5A3C"/>
    <w:rsid w:val="00BE51B1"/>
    <w:rsid w:val="00BF649E"/>
    <w:rsid w:val="00C00FF9"/>
    <w:rsid w:val="00C040DF"/>
    <w:rsid w:val="00C053B7"/>
    <w:rsid w:val="00C063DC"/>
    <w:rsid w:val="00C211D7"/>
    <w:rsid w:val="00C21B32"/>
    <w:rsid w:val="00C24D13"/>
    <w:rsid w:val="00C31611"/>
    <w:rsid w:val="00C32F4F"/>
    <w:rsid w:val="00C3694B"/>
    <w:rsid w:val="00C413F3"/>
    <w:rsid w:val="00C415A0"/>
    <w:rsid w:val="00C41DA8"/>
    <w:rsid w:val="00C425F4"/>
    <w:rsid w:val="00C443D5"/>
    <w:rsid w:val="00C50937"/>
    <w:rsid w:val="00C52906"/>
    <w:rsid w:val="00C74531"/>
    <w:rsid w:val="00C75C0D"/>
    <w:rsid w:val="00C806F7"/>
    <w:rsid w:val="00C871AA"/>
    <w:rsid w:val="00C9002D"/>
    <w:rsid w:val="00CA32BD"/>
    <w:rsid w:val="00CA621A"/>
    <w:rsid w:val="00CB117B"/>
    <w:rsid w:val="00CB1C02"/>
    <w:rsid w:val="00CC006A"/>
    <w:rsid w:val="00CC1C02"/>
    <w:rsid w:val="00CC7BEA"/>
    <w:rsid w:val="00CD346D"/>
    <w:rsid w:val="00CD682A"/>
    <w:rsid w:val="00CD6AAC"/>
    <w:rsid w:val="00CE28DE"/>
    <w:rsid w:val="00CE6E70"/>
    <w:rsid w:val="00CF33D0"/>
    <w:rsid w:val="00D0151D"/>
    <w:rsid w:val="00D020EB"/>
    <w:rsid w:val="00D046E2"/>
    <w:rsid w:val="00D07E87"/>
    <w:rsid w:val="00D20FA3"/>
    <w:rsid w:val="00D32C4F"/>
    <w:rsid w:val="00D34FC1"/>
    <w:rsid w:val="00D365FC"/>
    <w:rsid w:val="00D43C3F"/>
    <w:rsid w:val="00D46E67"/>
    <w:rsid w:val="00D619ED"/>
    <w:rsid w:val="00D62CAA"/>
    <w:rsid w:val="00D65517"/>
    <w:rsid w:val="00D726BD"/>
    <w:rsid w:val="00D75B06"/>
    <w:rsid w:val="00D839C2"/>
    <w:rsid w:val="00D8401D"/>
    <w:rsid w:val="00D8563D"/>
    <w:rsid w:val="00D91616"/>
    <w:rsid w:val="00D93E3B"/>
    <w:rsid w:val="00DA0D90"/>
    <w:rsid w:val="00DA312D"/>
    <w:rsid w:val="00DB0A20"/>
    <w:rsid w:val="00DB40E1"/>
    <w:rsid w:val="00DC7558"/>
    <w:rsid w:val="00DD3391"/>
    <w:rsid w:val="00DD60FA"/>
    <w:rsid w:val="00DE36B8"/>
    <w:rsid w:val="00DE538E"/>
    <w:rsid w:val="00DF0B3D"/>
    <w:rsid w:val="00DF18E7"/>
    <w:rsid w:val="00DF236B"/>
    <w:rsid w:val="00DF355F"/>
    <w:rsid w:val="00E0300D"/>
    <w:rsid w:val="00E17378"/>
    <w:rsid w:val="00E22B3B"/>
    <w:rsid w:val="00E248BF"/>
    <w:rsid w:val="00E259D0"/>
    <w:rsid w:val="00E2645A"/>
    <w:rsid w:val="00E26915"/>
    <w:rsid w:val="00E30FD5"/>
    <w:rsid w:val="00E3369A"/>
    <w:rsid w:val="00E373A5"/>
    <w:rsid w:val="00E454AF"/>
    <w:rsid w:val="00E47C04"/>
    <w:rsid w:val="00E505A8"/>
    <w:rsid w:val="00E5088C"/>
    <w:rsid w:val="00E55C76"/>
    <w:rsid w:val="00E61A1C"/>
    <w:rsid w:val="00E62362"/>
    <w:rsid w:val="00E63D42"/>
    <w:rsid w:val="00E666F3"/>
    <w:rsid w:val="00E72F81"/>
    <w:rsid w:val="00E75827"/>
    <w:rsid w:val="00E779FD"/>
    <w:rsid w:val="00E86ED4"/>
    <w:rsid w:val="00E94BF4"/>
    <w:rsid w:val="00EA3384"/>
    <w:rsid w:val="00EA383F"/>
    <w:rsid w:val="00EB1449"/>
    <w:rsid w:val="00EC3932"/>
    <w:rsid w:val="00ED17F8"/>
    <w:rsid w:val="00ED1D77"/>
    <w:rsid w:val="00ED510B"/>
    <w:rsid w:val="00ED7464"/>
    <w:rsid w:val="00ED7D3E"/>
    <w:rsid w:val="00EF4F86"/>
    <w:rsid w:val="00F00253"/>
    <w:rsid w:val="00F05E1C"/>
    <w:rsid w:val="00F07979"/>
    <w:rsid w:val="00F11539"/>
    <w:rsid w:val="00F15487"/>
    <w:rsid w:val="00F15A0D"/>
    <w:rsid w:val="00F16499"/>
    <w:rsid w:val="00F20611"/>
    <w:rsid w:val="00F24688"/>
    <w:rsid w:val="00F2573B"/>
    <w:rsid w:val="00F27219"/>
    <w:rsid w:val="00F315CA"/>
    <w:rsid w:val="00F326D0"/>
    <w:rsid w:val="00F33758"/>
    <w:rsid w:val="00F351D2"/>
    <w:rsid w:val="00F45B10"/>
    <w:rsid w:val="00F47FF9"/>
    <w:rsid w:val="00F50490"/>
    <w:rsid w:val="00F5734C"/>
    <w:rsid w:val="00F6345D"/>
    <w:rsid w:val="00F64C4D"/>
    <w:rsid w:val="00F67EB5"/>
    <w:rsid w:val="00F712E1"/>
    <w:rsid w:val="00F874EB"/>
    <w:rsid w:val="00F87B41"/>
    <w:rsid w:val="00F91CE0"/>
    <w:rsid w:val="00F93183"/>
    <w:rsid w:val="00F93691"/>
    <w:rsid w:val="00F9532D"/>
    <w:rsid w:val="00FA447E"/>
    <w:rsid w:val="00FA5381"/>
    <w:rsid w:val="00FA581A"/>
    <w:rsid w:val="00FA6354"/>
    <w:rsid w:val="00FA6D75"/>
    <w:rsid w:val="00FC0B3D"/>
    <w:rsid w:val="00FC289C"/>
    <w:rsid w:val="00FC3BF8"/>
    <w:rsid w:val="00FC78A3"/>
    <w:rsid w:val="00FD55BC"/>
    <w:rsid w:val="00FD5E17"/>
    <w:rsid w:val="00FD7026"/>
    <w:rsid w:val="00FF21DD"/>
    <w:rsid w:val="00FF327B"/>
    <w:rsid w:val="31350BE4"/>
    <w:rsid w:val="36807809"/>
    <w:rsid w:val="3D6B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rPr>
      <w:rFonts w:eastAsia="仿宋_GB2312"/>
      <w:sz w:val="30"/>
      <w:szCs w:val="20"/>
    </w:rPr>
  </w:style>
  <w:style w:type="paragraph" w:styleId="3">
    <w:name w:val="Plain Text"/>
    <w:basedOn w:val="1"/>
    <w:link w:val="12"/>
    <w:qFormat/>
    <w:uiPriority w:val="0"/>
    <w:pPr>
      <w:spacing w:line="360" w:lineRule="auto"/>
      <w:ind w:firstLine="480" w:firstLineChars="200"/>
    </w:pPr>
    <w:rPr>
      <w:rFonts w:ascii="仿宋_GB2312"/>
      <w:sz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sz w:val="21"/>
      <w:szCs w:val="21"/>
    </w:rPr>
  </w:style>
  <w:style w:type="character" w:customStyle="1" w:styleId="9">
    <w:name w:val="页眉 字符"/>
    <w:basedOn w:val="7"/>
    <w:link w:val="5"/>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2">
    <w:name w:val="纯文本 字符"/>
    <w:basedOn w:val="7"/>
    <w:link w:val="3"/>
    <w:qFormat/>
    <w:uiPriority w:val="0"/>
    <w:rPr>
      <w:rFonts w:ascii="仿宋_GB2312" w:hAnsi="Times New Roman" w:eastAsia="宋体" w:cs="Times New Roman"/>
      <w:sz w:val="24"/>
      <w:szCs w:val="24"/>
    </w:rPr>
  </w:style>
  <w:style w:type="paragraph" w:styleId="13">
    <w:name w:val="List Paragraph"/>
    <w:basedOn w:val="1"/>
    <w:qFormat/>
    <w:uiPriority w:val="34"/>
    <w:pPr>
      <w:ind w:firstLine="420" w:firstLineChars="200"/>
    </w:pPr>
    <w:rPr>
      <w:rFonts w:ascii="等线" w:hAnsi="等线" w:eastAsia="等线"/>
      <w:szCs w:val="22"/>
    </w:rPr>
  </w:style>
  <w:style w:type="character" w:customStyle="1" w:styleId="14">
    <w:name w:val="批注文字 字符"/>
    <w:basedOn w:val="7"/>
    <w:link w:val="2"/>
    <w:qFormat/>
    <w:uiPriority w:val="0"/>
    <w:rPr>
      <w:rFonts w:ascii="Times New Roman" w:hAnsi="Times New Roman" w:eastAsia="仿宋_GB2312" w:cs="Times New Roman"/>
      <w:sz w:val="30"/>
      <w:szCs w:val="20"/>
    </w:rPr>
  </w:style>
  <w:style w:type="paragraph" w:customStyle="1" w:styleId="1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1334</Words>
  <Characters>1562</Characters>
  <Lines>11</Lines>
  <Paragraphs>3</Paragraphs>
  <TotalTime>2</TotalTime>
  <ScaleCrop>false</ScaleCrop>
  <LinksUpToDate>false</LinksUpToDate>
  <CharactersWithSpaces>1590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2022-06-13T07:30:00Z</dcterms:created>
  <dc:creator>姚虎</dc:creator>
  <cp:lastModifiedBy>Fan静静</cp:lastModifiedBy>
  <dcterms:modified xsi:type="dcterms:W3CDTF">2022-06-13T07:42:59Z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0FA9764906334C5FAA9A685F6CAC8D5D</vt:lpwstr>
  </property>
</Properties>
</file>