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44500">
      <w:pPr>
        <w:keepNext w:val="0"/>
        <w:keepLines w:val="0"/>
        <w:pageBreakBefore w:val="0"/>
        <w:widowControl w:val="0"/>
        <w:kinsoku/>
        <w:wordWrap/>
        <w:overflowPunct/>
        <w:topLinePunct w:val="0"/>
        <w:autoSpaceDE/>
        <w:autoSpaceDN/>
        <w:bidi w:val="0"/>
        <w:adjustRightInd/>
        <w:snapToGrid/>
        <w:spacing w:after="280" w:line="340" w:lineRule="exact"/>
        <w:jc w:val="center"/>
        <w:textAlignment w:val="auto"/>
        <w:rPr>
          <w:b/>
          <w:sz w:val="32"/>
          <w:szCs w:val="32"/>
        </w:rPr>
      </w:pPr>
      <w:r>
        <w:rPr>
          <w:rFonts w:hint="eastAsia" w:ascii="宋体" w:hAnsi="宋体" w:cs="仿宋_GB2312"/>
          <w:b/>
          <w:kern w:val="0"/>
          <w:sz w:val="32"/>
          <w:szCs w:val="32"/>
        </w:rPr>
        <w:t>202</w:t>
      </w:r>
      <w:r>
        <w:rPr>
          <w:rFonts w:hint="eastAsia" w:ascii="宋体" w:hAnsi="宋体" w:cs="仿宋_GB2312"/>
          <w:b/>
          <w:kern w:val="0"/>
          <w:sz w:val="32"/>
          <w:szCs w:val="32"/>
          <w:lang w:val="en-US" w:eastAsia="zh-CN"/>
        </w:rPr>
        <w:t>6</w:t>
      </w:r>
      <w:r>
        <w:rPr>
          <w:rFonts w:hint="eastAsia" w:ascii="宋体" w:hAnsi="宋体" w:cs="仿宋_GB2312"/>
          <w:b/>
          <w:kern w:val="0"/>
          <w:sz w:val="32"/>
          <w:szCs w:val="32"/>
        </w:rPr>
        <w:t>年度陕西省科学技术奖提名项目公示内容</w:t>
      </w:r>
    </w:p>
    <w:p w14:paraId="651567E6">
      <w:pPr>
        <w:keepNext w:val="0"/>
        <w:keepLines w:val="0"/>
        <w:pageBreakBefore w:val="0"/>
        <w:numPr>
          <w:numId w:val="0"/>
        </w:numPr>
        <w:kinsoku/>
        <w:wordWrap/>
        <w:overflowPunct/>
        <w:topLinePunct w:val="0"/>
        <w:autoSpaceDE/>
        <w:autoSpaceDN/>
        <w:bidi w:val="0"/>
        <w:adjustRightInd/>
        <w:snapToGrid/>
        <w:spacing w:after="0" w:line="360" w:lineRule="auto"/>
        <w:textAlignment w:val="auto"/>
        <w:rPr>
          <w:rFonts w:hint="eastAsia" w:ascii="Times New Roman"/>
          <w:sz w:val="21"/>
        </w:rPr>
      </w:pPr>
      <w:r>
        <w:rPr>
          <w:rFonts w:hint="eastAsia"/>
          <w:b/>
          <w:sz w:val="24"/>
          <w:szCs w:val="24"/>
          <w:lang w:val="en-US" w:eastAsia="zh-CN"/>
        </w:rPr>
        <w:t>一、</w:t>
      </w:r>
      <w:r>
        <w:rPr>
          <w:rFonts w:hint="eastAsia"/>
          <w:b/>
          <w:sz w:val="24"/>
          <w:szCs w:val="24"/>
        </w:rPr>
        <w:t>项目名称：杂粮健康食品加工关键技术创新与产业化应用</w:t>
      </w:r>
    </w:p>
    <w:p w14:paraId="1F523E7A">
      <w:pPr>
        <w:keepNext w:val="0"/>
        <w:keepLines w:val="0"/>
        <w:pageBreakBefore w:val="0"/>
        <w:widowControl/>
        <w:kinsoku/>
        <w:wordWrap/>
        <w:overflowPunct/>
        <w:topLinePunct w:val="0"/>
        <w:autoSpaceDE/>
        <w:autoSpaceDN/>
        <w:bidi w:val="0"/>
        <w:adjustRightInd/>
        <w:snapToGrid/>
        <w:spacing w:after="0" w:line="360" w:lineRule="auto"/>
        <w:jc w:val="left"/>
        <w:textAlignment w:val="auto"/>
        <w:rPr>
          <w:b/>
          <w:sz w:val="24"/>
          <w:szCs w:val="24"/>
        </w:rPr>
      </w:pPr>
      <w:bookmarkStart w:id="2" w:name="_GoBack"/>
      <w:bookmarkEnd w:id="2"/>
      <w:r>
        <w:rPr>
          <w:rFonts w:hint="eastAsia" w:hAnsi="宋体"/>
          <w:bCs/>
          <w:color w:val="0D0D0D"/>
          <w:spacing w:val="2"/>
          <w:sz w:val="24"/>
          <w:szCs w:val="24"/>
        </w:rPr>
        <w:t>二、</w:t>
      </w:r>
      <w:r>
        <w:rPr>
          <w:b/>
          <w:sz w:val="24"/>
          <w:szCs w:val="24"/>
        </w:rPr>
        <w:t>提名者</w:t>
      </w:r>
      <w:r>
        <w:rPr>
          <w:rFonts w:hint="eastAsia"/>
          <w:b/>
          <w:sz w:val="24"/>
          <w:szCs w:val="24"/>
        </w:rPr>
        <w:t>：陕西省教育厅</w:t>
      </w:r>
      <w:r>
        <w:rPr>
          <w:rFonts w:hint="eastAsia"/>
          <w:sz w:val="20"/>
          <w:lang w:val="en-US" w:eastAsia="zh-CN"/>
        </w:rPr>
        <w:t xml:space="preserve"> </w:t>
      </w:r>
    </w:p>
    <w:p w14:paraId="33278D62">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b/>
          <w:bCs/>
          <w:sz w:val="21"/>
          <w:szCs w:val="21"/>
        </w:rPr>
      </w:pPr>
      <w:r>
        <w:rPr>
          <w:rFonts w:hint="eastAsia" w:ascii="Times New Roman"/>
          <w:b/>
          <w:bCs/>
          <w:sz w:val="21"/>
          <w:szCs w:val="21"/>
        </w:rPr>
        <w:t>单位提名意见：</w:t>
      </w:r>
    </w:p>
    <w:p w14:paraId="5D1467C2">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sz w:val="21"/>
          <w:szCs w:val="21"/>
        </w:rPr>
      </w:pPr>
      <w:r>
        <w:rPr>
          <w:rFonts w:ascii="Times New Roman"/>
          <w:sz w:val="21"/>
          <w:szCs w:val="21"/>
        </w:rPr>
        <w:t>陕西省是我国重要的杂粮主产区，杂粮常年种植面积维持在500万亩左右，是乡村振兴、健康中国不可或缺的健康食品原料和支柱产业。陕西的杂粮产业规模居全国前列，但长期存在原料稳定性差、加工适应性差、产品功能特性与附加值不足等问题，特色杂粮资源优势难以转化为产业优势，严重制约陕西杂粮产业高质量发展。针对以上问题，在国家自然科学基金、国家燕麦荞麦产业技术体系，陕西省科技统筹创新工程计划项目及陕西省谷物食品科学与营养创新团队等项目支持，通过科研与产业深度联动，突破了以</w:t>
      </w:r>
      <w:r>
        <w:rPr>
          <w:rFonts w:hint="eastAsia" w:ascii="Times New Roman"/>
          <w:sz w:val="21"/>
          <w:szCs w:val="21"/>
        </w:rPr>
        <w:t>“籽粒硬度、面团弹性、产品糊化度”</w:t>
      </w:r>
      <w:r>
        <w:rPr>
          <w:rFonts w:ascii="Times New Roman"/>
          <w:sz w:val="21"/>
          <w:szCs w:val="21"/>
        </w:rPr>
        <w:t>为核心指标的杂粮加工理论体系，创立了抗性淀粉多尺度结构定量评价方法，攻克了轻碾多磨、高压改性球蛋白及三段式抗性淀粉绿色制备等核心工艺与装备，形成了覆盖主食与功能食品的健康产品矩阵，构建了从实验室基础研究到产业落地的全链条知识产权体系。</w:t>
      </w:r>
    </w:p>
    <w:p w14:paraId="345A742D">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hAnsi="宋体"/>
          <w:bCs/>
          <w:color w:val="0D0D0D"/>
          <w:spacing w:val="2"/>
          <w:sz w:val="24"/>
          <w:szCs w:val="24"/>
        </w:rPr>
      </w:pPr>
      <w:r>
        <w:rPr>
          <w:rFonts w:ascii="Times New Roman"/>
          <w:sz w:val="21"/>
          <w:szCs w:val="21"/>
        </w:rPr>
        <w:t>项目技术与成果在省内外13家龙头企业应用，实现新增经济效益31.25亿元。项目获授权专利16件、软著1件，发表论文124篇（含SCI 96篇），出版著作5部。该项目突破了荞麦、燕麦、杂豆行业技术瓶颈，基础理论研究与生产实践紧密结合，成果整体创新性强，为促进我省杂粮产业从原料初加工向高附加值健康食品转型发展提供了系统解决方案。项目材料齐全、规范，无知识产权纠纷，人员排序无争议。符合陕西省科技进步奖提名条件。</w:t>
      </w:r>
    </w:p>
    <w:p w14:paraId="3133858B">
      <w:pPr>
        <w:keepNext w:val="0"/>
        <w:keepLines w:val="0"/>
        <w:pageBreakBefore w:val="0"/>
        <w:widowControl/>
        <w:kinsoku/>
        <w:wordWrap/>
        <w:overflowPunct/>
        <w:topLinePunct w:val="0"/>
        <w:autoSpaceDE/>
        <w:autoSpaceDN/>
        <w:bidi w:val="0"/>
        <w:adjustRightInd/>
        <w:snapToGrid/>
        <w:spacing w:after="0" w:line="360" w:lineRule="auto"/>
        <w:jc w:val="left"/>
        <w:textAlignment w:val="auto"/>
        <w:rPr>
          <w:b/>
          <w:sz w:val="24"/>
          <w:szCs w:val="24"/>
        </w:rPr>
      </w:pPr>
      <w:r>
        <w:rPr>
          <w:rFonts w:hint="eastAsia" w:hAnsi="宋体"/>
          <w:bCs/>
          <w:color w:val="0D0D0D"/>
          <w:spacing w:val="2"/>
          <w:sz w:val="24"/>
          <w:szCs w:val="24"/>
        </w:rPr>
        <w:t>三、</w:t>
      </w:r>
      <w:r>
        <w:rPr>
          <w:rFonts w:hint="eastAsia"/>
          <w:b/>
          <w:sz w:val="24"/>
          <w:szCs w:val="24"/>
        </w:rPr>
        <w:t>项目简介</w:t>
      </w:r>
    </w:p>
    <w:p w14:paraId="67A0F1A6">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sz w:val="21"/>
          <w:szCs w:val="21"/>
        </w:rPr>
      </w:pPr>
      <w:r>
        <w:rPr>
          <w:rFonts w:ascii="Times New Roman"/>
          <w:sz w:val="21"/>
          <w:szCs w:val="21"/>
        </w:rPr>
        <w:t>陕西是我国重要的杂粮主产区，主要分布于陕北榆林、咸阳淳化、西安蓝田</w:t>
      </w:r>
      <w:r>
        <w:rPr>
          <w:rFonts w:hint="eastAsia" w:ascii="Times New Roman"/>
          <w:sz w:val="21"/>
          <w:szCs w:val="21"/>
        </w:rPr>
        <w:t>、宝鸡麟游</w:t>
      </w:r>
      <w:r>
        <w:rPr>
          <w:rFonts w:ascii="Times New Roman"/>
          <w:sz w:val="21"/>
          <w:szCs w:val="21"/>
        </w:rPr>
        <w:t>等地，杂粮常年种植面积维持在</w:t>
      </w:r>
      <w:r>
        <w:rPr>
          <w:rFonts w:hint="eastAsia" w:ascii="Times New Roman"/>
          <w:sz w:val="21"/>
          <w:szCs w:val="21"/>
        </w:rPr>
        <w:t>5</w:t>
      </w:r>
      <w:r>
        <w:rPr>
          <w:rFonts w:ascii="Times New Roman"/>
          <w:sz w:val="21"/>
          <w:szCs w:val="21"/>
        </w:rPr>
        <w:t>00万亩</w:t>
      </w:r>
      <w:r>
        <w:rPr>
          <w:rFonts w:hint="eastAsia" w:ascii="Times New Roman"/>
          <w:sz w:val="21"/>
          <w:szCs w:val="21"/>
        </w:rPr>
        <w:t>左右</w:t>
      </w:r>
      <w:r>
        <w:rPr>
          <w:rFonts w:ascii="Times New Roman"/>
          <w:sz w:val="21"/>
          <w:szCs w:val="21"/>
        </w:rPr>
        <w:t>，约占省内粮食播种面积</w:t>
      </w:r>
      <w:r>
        <w:rPr>
          <w:rFonts w:hint="eastAsia" w:ascii="Times New Roman"/>
          <w:sz w:val="21"/>
          <w:szCs w:val="21"/>
        </w:rPr>
        <w:t>17%</w:t>
      </w:r>
      <w:r>
        <w:rPr>
          <w:rFonts w:ascii="Times New Roman"/>
          <w:sz w:val="21"/>
          <w:szCs w:val="21"/>
        </w:rPr>
        <w:t>，涵盖了荞麦、芸豆、绿豆、燕麦、谷子等多个品种，</w:t>
      </w:r>
      <w:r>
        <w:rPr>
          <w:rFonts w:hint="eastAsia" w:ascii="Times New Roman"/>
          <w:sz w:val="21"/>
          <w:szCs w:val="21"/>
        </w:rPr>
        <w:t>是乡村振兴、健康中国不可或缺的重要支柱产业。陕西的杂粮产业规模居全国前列，但长期存在原料稳定性差、加工适应性差、产品功能特性与附加值不足等问题，特色杂粮资源优势难以转化为产业优势，严重制约陕西杂粮产业高质量发展。</w:t>
      </w:r>
      <w:r>
        <w:rPr>
          <w:rFonts w:ascii="Times New Roman"/>
          <w:sz w:val="21"/>
          <w:szCs w:val="21"/>
        </w:rPr>
        <w:t>项目团队历经18年系统攻关，紧盯杂粮膳食纤维含量高导致的籽粒硬度偏低、以球蛋白为主的蛋白质网络形成能力</w:t>
      </w:r>
      <w:r>
        <w:rPr>
          <w:rFonts w:hint="eastAsia" w:ascii="Times New Roman"/>
          <w:sz w:val="21"/>
          <w:szCs w:val="21"/>
        </w:rPr>
        <w:t>弱</w:t>
      </w:r>
      <w:r>
        <w:rPr>
          <w:rFonts w:ascii="Times New Roman"/>
          <w:sz w:val="21"/>
          <w:szCs w:val="21"/>
        </w:rPr>
        <w:t>导致面团加工特性差、淀粉糊化行为难以精准控制引发的高餐后GI应答等核心科学问题，构建了从</w:t>
      </w:r>
      <w:r>
        <w:rPr>
          <w:rFonts w:hint="eastAsia" w:ascii="宋体" w:hAnsi="宋体" w:eastAsia="宋体" w:cs="宋体"/>
          <w:sz w:val="21"/>
          <w:szCs w:val="21"/>
        </w:rPr>
        <w:t>“关键品质指标与GI量化评价机制解析”，到“靶向加工技术与装备创制”，再到“健康产品与行业标准体系构建”的</w:t>
      </w:r>
      <w:r>
        <w:rPr>
          <w:rFonts w:ascii="Times New Roman"/>
          <w:sz w:val="21"/>
          <w:szCs w:val="21"/>
        </w:rPr>
        <w:t>全链条研究体系，形成了完整的技术创新路径。</w:t>
      </w:r>
    </w:p>
    <w:p w14:paraId="3D8FDDA3">
      <w:pPr>
        <w:pStyle w:val="5"/>
        <w:keepNext w:val="0"/>
        <w:keepLines w:val="0"/>
        <w:pageBreakBefore w:val="0"/>
        <w:widowControl w:val="0"/>
        <w:kinsoku/>
        <w:wordWrap/>
        <w:overflowPunct/>
        <w:topLinePunct w:val="0"/>
        <w:autoSpaceDE/>
        <w:autoSpaceDN/>
        <w:bidi w:val="0"/>
        <w:adjustRightInd/>
        <w:snapToGrid/>
        <w:spacing w:after="0" w:line="400" w:lineRule="exact"/>
        <w:ind w:firstLine="422"/>
        <w:textAlignment w:val="auto"/>
        <w:rPr>
          <w:rFonts w:ascii="Times New Roman"/>
          <w:sz w:val="21"/>
          <w:szCs w:val="21"/>
          <w:shd w:val="clear" w:color="auto" w:fill="FFFFFF"/>
        </w:rPr>
      </w:pPr>
      <w:r>
        <w:rPr>
          <w:rFonts w:ascii="Times New Roman"/>
          <w:b/>
          <w:sz w:val="21"/>
          <w:szCs w:val="21"/>
        </w:rPr>
        <w:t>1.系统揭示了杂粮籽粒硬度偏小的结构基础及其调控机制，明确了热加工过程中杂粮蛋白质结构变化对面团品质的影响规律，阐明了淀粉由天然态（I/II型）向高功能型（III/IV/V型）转变过程中多尺度结构动态重组降低产品GI的分子机制，实现了我国蒸煮类杂粮加工理论体系的突破。</w:t>
      </w:r>
      <w:r>
        <w:rPr>
          <w:rFonts w:ascii="Times New Roman"/>
          <w:sz w:val="21"/>
          <w:szCs w:val="21"/>
        </w:rPr>
        <w:t>首次提出籽粒硬度、面团弹性及产品糊化度3项关键品质控制指标，为杂粮加工奠定了系统的理论基础。明确了膳食纤维与杂粮</w:t>
      </w:r>
      <w:r>
        <w:rPr>
          <w:rFonts w:ascii="Times New Roman"/>
          <w:sz w:val="21"/>
          <w:szCs w:val="21"/>
          <w:shd w:val="clear" w:color="auto" w:fill="FFFFFF"/>
        </w:rPr>
        <w:t>籽粒硬度的内在关系</w:t>
      </w:r>
      <w:r>
        <w:rPr>
          <w:rFonts w:ascii="Times New Roman"/>
          <w:sz w:val="21"/>
          <w:szCs w:val="21"/>
        </w:rPr>
        <w:t>，建立了以籽粒硬度为核心指标选择燕麦原料的指标体系，</w:t>
      </w:r>
      <w:r>
        <w:rPr>
          <w:rFonts w:ascii="Times New Roman"/>
          <w:color w:val="0F1115"/>
          <w:sz w:val="21"/>
          <w:szCs w:val="21"/>
          <w:shd w:val="clear" w:color="auto" w:fill="FFFFFF"/>
        </w:rPr>
        <w:t>使企业原料利用率和加工稳定性显著提升</w:t>
      </w:r>
      <w:r>
        <w:rPr>
          <w:rFonts w:ascii="Times New Roman"/>
          <w:sz w:val="21"/>
          <w:szCs w:val="21"/>
        </w:rPr>
        <w:t>。</w:t>
      </w:r>
      <w:r>
        <w:rPr>
          <w:rFonts w:ascii="Times New Roman"/>
          <w:sz w:val="21"/>
          <w:szCs w:val="21"/>
          <w:shd w:val="clear" w:color="auto" w:fill="FFFFFF"/>
        </w:rPr>
        <w:t>揭示了促进杂粮球蛋白分子间二硫键形成以增强面团弹性的分子机制，发现压力、碱处理和热变性可促使球蛋白亚基解离并形成蛋白多聚体，</w:t>
      </w:r>
      <w:r>
        <w:rPr>
          <w:rFonts w:hint="eastAsia" w:ascii="Times New Roman"/>
          <w:sz w:val="21"/>
          <w:szCs w:val="21"/>
        </w:rPr>
        <w:t>低温水合降低膳食纤维对</w:t>
      </w:r>
      <w:r>
        <w:rPr>
          <w:rFonts w:ascii="Times New Roman"/>
          <w:sz w:val="21"/>
          <w:szCs w:val="21"/>
        </w:rPr>
        <w:t>蛋白网络造成</w:t>
      </w:r>
      <w:r>
        <w:rPr>
          <w:rFonts w:hint="eastAsia" w:ascii="Times New Roman"/>
          <w:sz w:val="21"/>
          <w:szCs w:val="21"/>
        </w:rPr>
        <w:t>的</w:t>
      </w:r>
      <w:r>
        <w:rPr>
          <w:rFonts w:ascii="Times New Roman"/>
          <w:sz w:val="21"/>
          <w:szCs w:val="21"/>
        </w:rPr>
        <w:t>物理割裂</w:t>
      </w:r>
      <w:r>
        <w:rPr>
          <w:rFonts w:hint="eastAsia" w:ascii="Times New Roman"/>
          <w:sz w:val="21"/>
          <w:szCs w:val="21"/>
        </w:rPr>
        <w:t>作用，</w:t>
      </w:r>
      <w:r>
        <w:rPr>
          <w:rFonts w:ascii="Times New Roman"/>
          <w:sz w:val="21"/>
          <w:szCs w:val="21"/>
        </w:rPr>
        <w:t>为杂粮面团的靶向增加弹性和质</w:t>
      </w:r>
      <w:r>
        <w:rPr>
          <w:rFonts w:ascii="Times New Roman"/>
          <w:sz w:val="21"/>
          <w:szCs w:val="21"/>
          <w:shd w:val="clear" w:color="auto" w:fill="FFFFFF"/>
        </w:rPr>
        <w:t>构改良提供了量化依据。阐明了淀粉多尺度结构从天然形态（I/II型）向高功能型（III/IV/V型）转变过程中的有序性演化规律，提出淀粉脱支程度、双螺旋组装密度及结晶区完整度可作为抗性淀粉的定量评价指标，为低GI产品精准创制提供了理论依据。</w:t>
      </w:r>
    </w:p>
    <w:p w14:paraId="15A37825">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sz w:val="21"/>
          <w:szCs w:val="21"/>
          <w:shd w:val="clear" w:color="auto" w:fill="FFFFFF"/>
        </w:rPr>
      </w:pPr>
      <w:r>
        <w:rPr>
          <w:rFonts w:ascii="Times New Roman"/>
          <w:sz w:val="21"/>
          <w:szCs w:val="21"/>
        </w:rPr>
        <w:t>2.</w:t>
      </w:r>
      <w:r>
        <w:rPr>
          <w:rFonts w:ascii="Times New Roman"/>
          <w:b/>
          <w:sz w:val="21"/>
          <w:szCs w:val="21"/>
        </w:rPr>
        <w:t>攻克基于籽粒皮层厚硬度小的轻碾多磨与适度剥刮技术，二级挤压与高压改性球蛋白加工技术，湿热/超高压/酶法脱支抗性淀粉绿色制备等技术，开发了配套核心装备，实现了杂粮加工工业化、标准化生产。</w:t>
      </w:r>
      <w:r>
        <w:rPr>
          <w:rFonts w:ascii="Times New Roman"/>
          <w:sz w:val="21"/>
          <w:szCs w:val="21"/>
          <w:shd w:val="clear" w:color="auto" w:fill="FFFFFF"/>
        </w:rPr>
        <w:t>基于荞麦、燕麦籽粒硬度</w:t>
      </w:r>
      <w:r>
        <w:rPr>
          <w:rFonts w:hint="eastAsia" w:ascii="Times New Roman"/>
          <w:sz w:val="21"/>
          <w:szCs w:val="21"/>
          <w:shd w:val="clear" w:color="auto" w:fill="FFFFFF"/>
        </w:rPr>
        <w:t>小的原料</w:t>
      </w:r>
      <w:r>
        <w:rPr>
          <w:rFonts w:ascii="Times New Roman"/>
          <w:sz w:val="21"/>
          <w:szCs w:val="21"/>
          <w:shd w:val="clear" w:color="auto" w:fill="FFFFFF"/>
        </w:rPr>
        <w:t>特性，建立了燕麦片不切粒、燕麦米轻碾多磨、燕麦麸适度剥刮技术体系，研发出改善产品特性的系列装备。创制了整籽粒二次挤压调控杂粮面团特性技术及氢氧化钙改性荞麦清蛋白加工技术，构建了涵盖面团弹性提升、面团硬度降低、产品GI值调控三大目标的成套加工工艺及专用生产线</w:t>
      </w:r>
      <w:r>
        <w:rPr>
          <w:rFonts w:hint="eastAsia" w:ascii="Times New Roman"/>
          <w:sz w:val="21"/>
          <w:szCs w:val="21"/>
          <w:shd w:val="clear" w:color="auto" w:fill="FFFFFF"/>
        </w:rPr>
        <w:t>，</w:t>
      </w:r>
      <w:r>
        <w:rPr>
          <w:rFonts w:ascii="Times New Roman"/>
          <w:sz w:val="21"/>
          <w:szCs w:val="21"/>
          <w:shd w:val="clear" w:color="auto" w:fill="FFFFFF"/>
        </w:rPr>
        <w:t>荞麦面团</w:t>
      </w:r>
      <w:r>
        <w:rPr>
          <w:rFonts w:hint="eastAsia" w:ascii="Times New Roman"/>
          <w:sz w:val="21"/>
          <w:szCs w:val="21"/>
          <w:shd w:val="clear" w:color="auto" w:fill="FFFFFF"/>
        </w:rPr>
        <w:t>(</w:t>
      </w:r>
      <w:r>
        <w:rPr>
          <w:rFonts w:ascii="Times New Roman"/>
          <w:sz w:val="21"/>
          <w:szCs w:val="21"/>
          <w:shd w:val="clear" w:color="auto" w:fill="FFFFFF"/>
        </w:rPr>
        <w:t>0.18–0.21 mm</w:t>
      </w:r>
      <w:r>
        <w:rPr>
          <w:rFonts w:hint="eastAsia" w:ascii="Times New Roman"/>
          <w:sz w:val="21"/>
          <w:szCs w:val="21"/>
          <w:shd w:val="clear" w:color="auto" w:fill="FFFFFF"/>
        </w:rPr>
        <w:t>)、</w:t>
      </w:r>
      <w:r>
        <w:rPr>
          <w:rFonts w:ascii="Times New Roman"/>
          <w:sz w:val="21"/>
          <w:szCs w:val="21"/>
          <w:shd w:val="clear" w:color="auto" w:fill="FFFFFF"/>
        </w:rPr>
        <w:t>燕麦面团</w:t>
      </w:r>
      <w:r>
        <w:rPr>
          <w:rFonts w:hint="eastAsia" w:ascii="Times New Roman"/>
          <w:sz w:val="21"/>
          <w:szCs w:val="21"/>
          <w:shd w:val="clear" w:color="auto" w:fill="FFFFFF"/>
        </w:rPr>
        <w:t>(</w:t>
      </w:r>
      <w:r>
        <w:rPr>
          <w:rFonts w:ascii="Times New Roman"/>
          <w:sz w:val="21"/>
          <w:szCs w:val="21"/>
          <w:shd w:val="clear" w:color="auto" w:fill="FFFFFF"/>
        </w:rPr>
        <w:t>0.13–0.22 mm</w:t>
      </w:r>
      <w:r>
        <w:rPr>
          <w:rFonts w:hint="eastAsia" w:ascii="Times New Roman"/>
          <w:sz w:val="21"/>
          <w:szCs w:val="21"/>
          <w:shd w:val="clear" w:color="auto" w:fill="FFFFFF"/>
        </w:rPr>
        <w:t>)、扁豆</w:t>
      </w:r>
      <w:r>
        <w:rPr>
          <w:rFonts w:ascii="Times New Roman"/>
          <w:sz w:val="21"/>
          <w:szCs w:val="21"/>
          <w:shd w:val="clear" w:color="auto" w:fill="FFFFFF"/>
        </w:rPr>
        <w:t>面团</w:t>
      </w:r>
      <w:r>
        <w:rPr>
          <w:rFonts w:hint="eastAsia" w:ascii="Times New Roman"/>
          <w:sz w:val="21"/>
          <w:szCs w:val="21"/>
          <w:shd w:val="clear" w:color="auto" w:fill="FFFFFF"/>
        </w:rPr>
        <w:t>(</w:t>
      </w:r>
      <w:r>
        <w:rPr>
          <w:rFonts w:ascii="Times New Roman"/>
          <w:sz w:val="21"/>
          <w:szCs w:val="21"/>
          <w:shd w:val="clear" w:color="auto" w:fill="FFFFFF"/>
        </w:rPr>
        <w:t>0.</w:t>
      </w:r>
      <w:r>
        <w:rPr>
          <w:rFonts w:hint="eastAsia" w:ascii="Times New Roman"/>
          <w:sz w:val="21"/>
          <w:szCs w:val="21"/>
          <w:shd w:val="clear" w:color="auto" w:fill="FFFFFF"/>
        </w:rPr>
        <w:t>20</w:t>
      </w:r>
      <w:r>
        <w:rPr>
          <w:rFonts w:ascii="Times New Roman"/>
          <w:sz w:val="21"/>
          <w:szCs w:val="21"/>
          <w:shd w:val="clear" w:color="auto" w:fill="FFFFFF"/>
        </w:rPr>
        <w:t>–0.2</w:t>
      </w:r>
      <w:r>
        <w:rPr>
          <w:rFonts w:hint="eastAsia" w:ascii="Times New Roman"/>
          <w:sz w:val="21"/>
          <w:szCs w:val="21"/>
          <w:shd w:val="clear" w:color="auto" w:fill="FFFFFF"/>
        </w:rPr>
        <w:t>5</w:t>
      </w:r>
      <w:r>
        <w:rPr>
          <w:rFonts w:ascii="Times New Roman"/>
          <w:sz w:val="21"/>
          <w:szCs w:val="21"/>
          <w:shd w:val="clear" w:color="auto" w:fill="FFFFFF"/>
        </w:rPr>
        <w:t xml:space="preserve"> mm</w:t>
      </w:r>
      <w:r>
        <w:rPr>
          <w:rFonts w:hint="eastAsia" w:ascii="Times New Roman"/>
          <w:sz w:val="21"/>
          <w:szCs w:val="21"/>
          <w:shd w:val="clear" w:color="auto" w:fill="FFFFFF"/>
        </w:rPr>
        <w:t>)的弹性显著提高，</w:t>
      </w:r>
      <w:r>
        <w:rPr>
          <w:rFonts w:ascii="Times New Roman"/>
          <w:sz w:val="21"/>
          <w:szCs w:val="21"/>
          <w:shd w:val="clear" w:color="auto" w:fill="FFFFFF"/>
        </w:rPr>
        <w:t>有效解决了</w:t>
      </w:r>
      <w:r>
        <w:rPr>
          <w:rFonts w:hint="eastAsia" w:ascii="Times New Roman"/>
          <w:sz w:val="21"/>
          <w:szCs w:val="21"/>
          <w:shd w:val="clear" w:color="auto" w:fill="FFFFFF"/>
        </w:rPr>
        <w:t>杂粮面团</w:t>
      </w:r>
      <w:r>
        <w:rPr>
          <w:rFonts w:ascii="Times New Roman"/>
          <w:sz w:val="21"/>
          <w:szCs w:val="21"/>
          <w:shd w:val="clear" w:color="auto" w:fill="FFFFFF"/>
        </w:rPr>
        <w:t>成型难、口感粗糙的共性难题。开发了“物理预处理—酶法精准脱支—程序化回生”三段式抗性淀粉绿色制备工艺，自主研制一体化连续生产装备与智能包埋装置，使抗性淀粉生产效率提升35%，包埋效率由70%提高至90%以上，实现了抗性淀粉在益生菌靶向递送和营养素高效包埋中的高值化应用。</w:t>
      </w:r>
    </w:p>
    <w:p w14:paraId="0F158221">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sz w:val="21"/>
          <w:szCs w:val="21"/>
        </w:rPr>
      </w:pPr>
      <w:r>
        <w:rPr>
          <w:rFonts w:ascii="Times New Roman"/>
          <w:sz w:val="21"/>
          <w:szCs w:val="21"/>
        </w:rPr>
        <w:t>3.</w:t>
      </w:r>
      <w:r>
        <w:rPr>
          <w:rFonts w:ascii="Times New Roman"/>
          <w:b/>
          <w:sz w:val="21"/>
          <w:szCs w:val="21"/>
        </w:rPr>
        <w:t>开发高纤杂粮产品、杂粮传统面制品、杂粮抗性淀粉基高附加值产品，建立产品质量标准体系，实现了杂粮传统食品功能化和效益提升。</w:t>
      </w:r>
      <w:r>
        <w:rPr>
          <w:rFonts w:ascii="Times New Roman"/>
          <w:sz w:val="21"/>
          <w:szCs w:val="21"/>
        </w:rPr>
        <w:t>开发的大片型燕麦麸膳食纤维含量达20%；研制的留胚燕麦米（胚芽保留率95%）保留了燕麦全谷物营养特性；通过两蒸一烘组合工艺开发的大片燕麦片，外形如雪花，口感滑爽筋道。针对不同消费场景，开发了荞麦饸饹（GI值70）、荞麦半干面（GI值52）、荞麦挂面、纯燕麦面条（GI值65）及低GI抗性淀粉面条等健康主食系列产品，产品糊化度控制在65%左右，蒸煮损失率降低20%。创制出植物乳杆菌靶向微胶囊（胃液2小时存活8.37 log CFU/g，肠液6小时缓释9.68 log CFU/g）和β-胡萝卜素双重包埋微粒（包埋率90.32%，6小时缓释85.90%），形成了覆盖主食、豆沙与胶囊三大品类的健康产品矩阵。主导制定国家及行业标准8项，建立淳化、蓝田荞面饸饹地方标准体系，改变了杂粮主食长期</w:t>
      </w:r>
      <w:r>
        <w:rPr>
          <w:rFonts w:hint="eastAsia" w:ascii="宋体" w:hAnsi="宋体" w:eastAsia="宋体" w:cs="宋体"/>
          <w:sz w:val="21"/>
          <w:szCs w:val="21"/>
        </w:rPr>
        <w:t>“无标可依”</w:t>
      </w:r>
      <w:r>
        <w:rPr>
          <w:rFonts w:ascii="Times New Roman"/>
          <w:sz w:val="21"/>
          <w:szCs w:val="21"/>
        </w:rPr>
        <w:t>的状况。</w:t>
      </w:r>
    </w:p>
    <w:p w14:paraId="23E93635">
      <w:pPr>
        <w:pStyle w:val="5"/>
        <w:keepNext w:val="0"/>
        <w:keepLines w:val="0"/>
        <w:pageBreakBefore w:val="0"/>
        <w:widowControl w:val="0"/>
        <w:kinsoku/>
        <w:wordWrap/>
        <w:overflowPunct/>
        <w:topLinePunct w:val="0"/>
        <w:autoSpaceDE/>
        <w:autoSpaceDN/>
        <w:bidi w:val="0"/>
        <w:adjustRightInd/>
        <w:snapToGrid/>
        <w:spacing w:after="0" w:line="400" w:lineRule="exact"/>
        <w:ind w:firstLine="420"/>
        <w:textAlignment w:val="auto"/>
        <w:rPr>
          <w:rFonts w:ascii="Times New Roman"/>
          <w:sz w:val="21"/>
          <w:szCs w:val="21"/>
        </w:rPr>
      </w:pPr>
      <w:r>
        <w:rPr>
          <w:rFonts w:ascii="Times New Roman"/>
          <w:sz w:val="21"/>
          <w:szCs w:val="21"/>
        </w:rPr>
        <w:t>近三年，技术与装备在13家龙头企业应用，新建生产线6条，新开设荞面饸饹分店50余家，实现新增经济效益31.</w:t>
      </w:r>
      <w:r>
        <w:rPr>
          <w:rFonts w:hint="eastAsia" w:ascii="Times New Roman"/>
          <w:sz w:val="21"/>
          <w:szCs w:val="21"/>
        </w:rPr>
        <w:t>25</w:t>
      </w:r>
      <w:r>
        <w:rPr>
          <w:rFonts w:ascii="Times New Roman"/>
          <w:sz w:val="21"/>
          <w:szCs w:val="21"/>
        </w:rPr>
        <w:t>亿元。项目获授权专利16件、软著1件，发表论文124篇（含SCI</w:t>
      </w:r>
      <w:r>
        <w:rPr>
          <w:rFonts w:hint="eastAsia" w:ascii="Times New Roman"/>
          <w:sz w:val="21"/>
          <w:szCs w:val="21"/>
        </w:rPr>
        <w:t xml:space="preserve"> </w:t>
      </w:r>
      <w:r>
        <w:rPr>
          <w:rFonts w:ascii="Times New Roman"/>
          <w:sz w:val="21"/>
          <w:szCs w:val="21"/>
        </w:rPr>
        <w:t>96篇），出版著作5部，培养博硕士研究生30名。项目</w:t>
      </w:r>
      <w:r>
        <w:rPr>
          <w:rFonts w:ascii="Times New Roman"/>
          <w:color w:val="0F1115"/>
          <w:sz w:val="21"/>
          <w:szCs w:val="21"/>
          <w:shd w:val="clear" w:color="auto" w:fill="FFFFFF"/>
        </w:rPr>
        <w:t>突破了以“籽粒硬度、面团弹性、产品糊化度”为核心指标的杂粮加工理论体系，创立了抗性淀粉多尺度结构定量评价方法，攻克了轻碾多磨、高压改性球蛋白及三段式抗性淀粉绿色制备等核心工艺与装备，形成了覆盖主食与功能食品的健康产品矩阵，并主导制定行业标准，实现了工业化标准化生产，形成了从实验室基础研究到产业落地的全链条知识产权</w:t>
      </w:r>
      <w:r>
        <w:rPr>
          <w:rFonts w:ascii="Times New Roman"/>
          <w:sz w:val="21"/>
          <w:szCs w:val="21"/>
        </w:rPr>
        <w:t>体系，为我国杂粮产业从原料初加工向高附加值健康主食品牌化跨越式转型发展提供了系统解决方案。</w:t>
      </w:r>
    </w:p>
    <w:p w14:paraId="2096FA51">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rPr>
      </w:pPr>
      <w:r>
        <w:rPr>
          <w:rFonts w:hint="eastAsia"/>
          <w:b/>
        </w:rPr>
        <w:t>四、客观评价：（包括该项目科技成果鉴定意见、国内外对本项目研究成果的引用情况）</w:t>
      </w:r>
    </w:p>
    <w:p w14:paraId="7D1FA080">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1. 成果获科技进步奖</w:t>
      </w:r>
      <w:r>
        <w:rPr>
          <w:rFonts w:hint="eastAsia" w:ascii="Times New Roman" w:hAnsi="Times New Roman" w:eastAsia="宋体" w:cs="Times New Roman"/>
          <w:b/>
          <w:bCs/>
          <w:kern w:val="0"/>
          <w:sz w:val="21"/>
          <w:szCs w:val="21"/>
        </w:rPr>
        <w:t>3</w:t>
      </w:r>
      <w:r>
        <w:rPr>
          <w:rFonts w:ascii="Times New Roman" w:hAnsi="Times New Roman" w:eastAsia="宋体" w:cs="Times New Roman"/>
          <w:b/>
          <w:bCs/>
          <w:kern w:val="0"/>
          <w:sz w:val="21"/>
          <w:szCs w:val="21"/>
        </w:rPr>
        <w:t>项</w:t>
      </w:r>
      <w:r>
        <w:rPr>
          <w:rFonts w:hint="eastAsia" w:ascii="Times New Roman" w:hAnsi="Times New Roman" w:eastAsia="宋体" w:cs="Times New Roman"/>
          <w:kern w:val="0"/>
          <w:sz w:val="21"/>
          <w:szCs w:val="21"/>
        </w:rPr>
        <w:t>（必备附件3.3）</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3"/>
        <w:gridCol w:w="776"/>
        <w:gridCol w:w="1559"/>
        <w:gridCol w:w="709"/>
        <w:gridCol w:w="1134"/>
        <w:gridCol w:w="1298"/>
      </w:tblGrid>
      <w:tr w14:paraId="4654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3083" w:type="dxa"/>
            <w:vAlign w:val="center"/>
          </w:tcPr>
          <w:p w14:paraId="4006553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成果名称</w:t>
            </w:r>
          </w:p>
        </w:tc>
        <w:tc>
          <w:tcPr>
            <w:tcW w:w="776" w:type="dxa"/>
            <w:vAlign w:val="center"/>
          </w:tcPr>
          <w:p w14:paraId="79F6344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时间</w:t>
            </w:r>
          </w:p>
        </w:tc>
        <w:tc>
          <w:tcPr>
            <w:tcW w:w="1559" w:type="dxa"/>
            <w:vAlign w:val="center"/>
          </w:tcPr>
          <w:p w14:paraId="468A01D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奖项名称</w:t>
            </w:r>
          </w:p>
        </w:tc>
        <w:tc>
          <w:tcPr>
            <w:tcW w:w="709" w:type="dxa"/>
            <w:vAlign w:val="center"/>
          </w:tcPr>
          <w:p w14:paraId="67EFB13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等级</w:t>
            </w:r>
          </w:p>
        </w:tc>
        <w:tc>
          <w:tcPr>
            <w:tcW w:w="1134" w:type="dxa"/>
            <w:vAlign w:val="center"/>
          </w:tcPr>
          <w:p w14:paraId="30C3883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第一完成人</w:t>
            </w:r>
          </w:p>
        </w:tc>
        <w:tc>
          <w:tcPr>
            <w:tcW w:w="1298" w:type="dxa"/>
            <w:vAlign w:val="center"/>
          </w:tcPr>
          <w:p w14:paraId="588EF69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b/>
                <w:bCs/>
                <w:kern w:val="0"/>
                <w:sz w:val="18"/>
                <w:szCs w:val="18"/>
              </w:rPr>
              <w:t>授奖单位</w:t>
            </w:r>
          </w:p>
        </w:tc>
      </w:tr>
      <w:tr w14:paraId="6784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83" w:type="dxa"/>
            <w:vAlign w:val="center"/>
          </w:tcPr>
          <w:p w14:paraId="5A86488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sz w:val="18"/>
                <w:szCs w:val="18"/>
              </w:rPr>
              <w:t>燕麦食品产业化关键技术研究与产品创制</w:t>
            </w:r>
          </w:p>
        </w:tc>
        <w:tc>
          <w:tcPr>
            <w:tcW w:w="776" w:type="dxa"/>
            <w:vAlign w:val="center"/>
          </w:tcPr>
          <w:p w14:paraId="30F0F05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kern w:val="0"/>
                <w:sz w:val="18"/>
                <w:szCs w:val="18"/>
              </w:rPr>
              <w:t>2020</w:t>
            </w:r>
          </w:p>
        </w:tc>
        <w:tc>
          <w:tcPr>
            <w:tcW w:w="1559" w:type="dxa"/>
            <w:vAlign w:val="center"/>
          </w:tcPr>
          <w:p w14:paraId="1202AF6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sz w:val="18"/>
                <w:szCs w:val="18"/>
              </w:rPr>
              <w:t>陕西省教育厅科技进步奖</w:t>
            </w:r>
          </w:p>
        </w:tc>
        <w:tc>
          <w:tcPr>
            <w:tcW w:w="709" w:type="dxa"/>
            <w:vAlign w:val="center"/>
          </w:tcPr>
          <w:p w14:paraId="2C80159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kern w:val="0"/>
                <w:sz w:val="18"/>
                <w:szCs w:val="18"/>
              </w:rPr>
              <w:t>一等</w:t>
            </w:r>
          </w:p>
        </w:tc>
        <w:tc>
          <w:tcPr>
            <w:tcW w:w="1134" w:type="dxa"/>
            <w:vAlign w:val="center"/>
          </w:tcPr>
          <w:p w14:paraId="7E2D444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kern w:val="0"/>
                <w:sz w:val="18"/>
                <w:szCs w:val="18"/>
              </w:rPr>
              <w:t>胡新中</w:t>
            </w:r>
          </w:p>
        </w:tc>
        <w:tc>
          <w:tcPr>
            <w:tcW w:w="1298" w:type="dxa"/>
            <w:vAlign w:val="center"/>
          </w:tcPr>
          <w:p w14:paraId="3F0C282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b/>
                <w:bCs/>
                <w:kern w:val="0"/>
                <w:sz w:val="18"/>
                <w:szCs w:val="18"/>
              </w:rPr>
            </w:pPr>
            <w:r>
              <w:rPr>
                <w:rFonts w:ascii="Times New Roman" w:hAnsi="Times New Roman" w:eastAsia="宋体" w:cs="Times New Roman"/>
                <w:sz w:val="18"/>
                <w:szCs w:val="18"/>
              </w:rPr>
              <w:t>陕西省教育厅</w:t>
            </w:r>
          </w:p>
        </w:tc>
      </w:tr>
      <w:tr w14:paraId="49CC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83" w:type="dxa"/>
            <w:vAlign w:val="center"/>
          </w:tcPr>
          <w:p w14:paraId="128F9ED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传统荞面饸饹品质提升技术创新</w:t>
            </w:r>
          </w:p>
        </w:tc>
        <w:tc>
          <w:tcPr>
            <w:tcW w:w="776" w:type="dxa"/>
            <w:vAlign w:val="center"/>
          </w:tcPr>
          <w:p w14:paraId="3BD79F7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2024</w:t>
            </w:r>
          </w:p>
        </w:tc>
        <w:tc>
          <w:tcPr>
            <w:tcW w:w="1559" w:type="dxa"/>
            <w:vAlign w:val="center"/>
          </w:tcPr>
          <w:p w14:paraId="0618FBA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世界中餐联合会</w:t>
            </w:r>
          </w:p>
        </w:tc>
        <w:tc>
          <w:tcPr>
            <w:tcW w:w="709" w:type="dxa"/>
            <w:vAlign w:val="center"/>
          </w:tcPr>
          <w:p w14:paraId="381DBBF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p>
        </w:tc>
        <w:tc>
          <w:tcPr>
            <w:tcW w:w="1134" w:type="dxa"/>
            <w:vAlign w:val="center"/>
          </w:tcPr>
          <w:p w14:paraId="146B0F3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胡新中</w:t>
            </w:r>
          </w:p>
        </w:tc>
        <w:tc>
          <w:tcPr>
            <w:tcW w:w="1298" w:type="dxa"/>
            <w:vAlign w:val="center"/>
          </w:tcPr>
          <w:p w14:paraId="75654F3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世界中餐联合会</w:t>
            </w:r>
          </w:p>
        </w:tc>
      </w:tr>
      <w:tr w14:paraId="5277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83" w:type="dxa"/>
            <w:vAlign w:val="center"/>
          </w:tcPr>
          <w:p w14:paraId="35A1349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抗性淀粉加工关键技术及其在功能食品加工中的创新应用</w:t>
            </w:r>
          </w:p>
        </w:tc>
        <w:tc>
          <w:tcPr>
            <w:tcW w:w="776" w:type="dxa"/>
            <w:vAlign w:val="center"/>
          </w:tcPr>
          <w:p w14:paraId="317D200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2025</w:t>
            </w:r>
          </w:p>
        </w:tc>
        <w:tc>
          <w:tcPr>
            <w:tcW w:w="1559" w:type="dxa"/>
            <w:vAlign w:val="center"/>
          </w:tcPr>
          <w:p w14:paraId="33A5EE8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世界中餐联合会</w:t>
            </w:r>
          </w:p>
        </w:tc>
        <w:tc>
          <w:tcPr>
            <w:tcW w:w="709" w:type="dxa"/>
            <w:vAlign w:val="center"/>
          </w:tcPr>
          <w:p w14:paraId="58D0AFF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p>
        </w:tc>
        <w:tc>
          <w:tcPr>
            <w:tcW w:w="1134" w:type="dxa"/>
            <w:vAlign w:val="center"/>
          </w:tcPr>
          <w:p w14:paraId="28A918C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马蓁</w:t>
            </w:r>
          </w:p>
        </w:tc>
        <w:tc>
          <w:tcPr>
            <w:tcW w:w="1298" w:type="dxa"/>
            <w:vAlign w:val="center"/>
          </w:tcPr>
          <w:p w14:paraId="05A634E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世界中餐联合会</w:t>
            </w:r>
          </w:p>
        </w:tc>
      </w:tr>
    </w:tbl>
    <w:p w14:paraId="362087CE">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2. 第三方评价</w:t>
      </w:r>
    </w:p>
    <w:p w14:paraId="5D41BD78">
      <w:pPr>
        <w:pStyle w:val="3"/>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rPr>
        <w:t>2010年，经教育部组织专家鉴定，项目组关于“燕麦食品产业化关键技术研究与示范”的研究成果达到国际先进水平。</w:t>
      </w:r>
    </w:p>
    <w:p w14:paraId="21D9EAE6">
      <w:pPr>
        <w:pStyle w:val="3"/>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sz w:val="21"/>
          <w:szCs w:val="21"/>
        </w:rPr>
      </w:pPr>
      <w:r>
        <w:rPr>
          <w:rFonts w:ascii="Times New Roman" w:hAnsi="Times New Roman" w:eastAsia="宋体" w:cs="Times New Roman"/>
          <w:b/>
          <w:bCs/>
          <w:kern w:val="0"/>
          <w:sz w:val="21"/>
          <w:szCs w:val="21"/>
        </w:rPr>
        <w:t>3. 科技查新</w:t>
      </w:r>
    </w:p>
    <w:p w14:paraId="2AA34102">
      <w:pPr>
        <w:pStyle w:val="4"/>
        <w:keepNext w:val="0"/>
        <w:keepLines w:val="0"/>
        <w:pageBreakBefore w:val="0"/>
        <w:kinsoku/>
        <w:wordWrap/>
        <w:overflowPunct/>
        <w:topLinePunct w:val="0"/>
        <w:autoSpaceDE/>
        <w:autoSpaceDN/>
        <w:bidi w:val="0"/>
        <w:spacing w:after="0" w:line="400" w:lineRule="exact"/>
        <w:ind w:firstLine="420" w:firstLineChars="200"/>
        <w:textAlignment w:val="auto"/>
        <w:rPr>
          <w:rFonts w:ascii="Times New Roman" w:hAnsi="Times New Roman" w:eastAsia="宋体" w:cs="Times New Roman"/>
          <w:sz w:val="21"/>
          <w:szCs w:val="21"/>
          <w:highlight w:val="yellow"/>
        </w:rPr>
      </w:pPr>
      <w:r>
        <w:rPr>
          <w:rFonts w:hint="eastAsia" w:ascii="Times New Roman" w:hAnsi="Times New Roman" w:eastAsia="宋体" w:cs="Times New Roman"/>
          <w:sz w:val="21"/>
          <w:szCs w:val="21"/>
        </w:rPr>
        <w:t>经科学技术部西南信息中心查新中心查新</w:t>
      </w:r>
      <w:r>
        <w:rPr>
          <w:rFonts w:ascii="Times New Roman" w:hAnsi="Times New Roman" w:eastAsia="宋体" w:cs="Times New Roman"/>
          <w:sz w:val="21"/>
          <w:szCs w:val="21"/>
        </w:rPr>
        <w:t>，</w:t>
      </w:r>
      <w:r>
        <w:rPr>
          <w:rFonts w:hint="eastAsia" w:ascii="Times New Roman" w:hAnsi="Times New Roman" w:eastAsia="宋体" w:cs="Times New Roman"/>
          <w:sz w:val="21"/>
          <w:szCs w:val="21"/>
        </w:rPr>
        <w:t>除</w:t>
      </w:r>
      <w:r>
        <w:rPr>
          <w:rFonts w:hint="eastAsia" w:ascii="Times New Roman" w:hAnsi="Times New Roman" w:eastAsia="宋体" w:cs="Times New Roman"/>
          <w:sz w:val="21"/>
          <w:szCs w:val="21"/>
          <w:lang w:val="en-US" w:eastAsia="zh-CN"/>
        </w:rPr>
        <w:t>项目</w:t>
      </w:r>
      <w:r>
        <w:rPr>
          <w:rFonts w:hint="eastAsia" w:ascii="Times New Roman" w:hAnsi="Times New Roman" w:eastAsia="宋体" w:cs="Times New Roman"/>
          <w:sz w:val="21"/>
          <w:szCs w:val="21"/>
        </w:rPr>
        <w:t>组成员</w:t>
      </w:r>
      <w:r>
        <w:rPr>
          <w:rFonts w:hint="eastAsia" w:ascii="Times New Roman" w:hAnsi="Times New Roman" w:eastAsia="宋体" w:cs="Times New Roman"/>
          <w:sz w:val="21"/>
          <w:szCs w:val="21"/>
          <w:lang w:val="en-US" w:eastAsia="zh-CN"/>
        </w:rPr>
        <w:t>胡新中</w:t>
      </w:r>
      <w:r>
        <w:rPr>
          <w:rFonts w:hint="eastAsia" w:ascii="Times New Roman" w:hAnsi="Times New Roman" w:eastAsia="宋体" w:cs="Times New Roman"/>
          <w:sz w:val="21"/>
          <w:szCs w:val="21"/>
        </w:rPr>
        <w:t>等人，未见与项目有关研究的报告</w:t>
      </w:r>
      <w:r>
        <w:rPr>
          <w:rFonts w:hint="eastAsia" w:ascii="Times New Roman" w:hAnsi="Times New Roman" w:eastAsia="宋体" w:cs="Times New Roman"/>
          <w:sz w:val="21"/>
          <w:szCs w:val="21"/>
          <w:lang w:eastAsia="zh-CN"/>
        </w:rPr>
        <w:t>，</w:t>
      </w:r>
      <w:r>
        <w:rPr>
          <w:rFonts w:ascii="Times New Roman" w:hAnsi="Times New Roman" w:eastAsia="宋体" w:cs="Times New Roman"/>
          <w:sz w:val="21"/>
          <w:szCs w:val="21"/>
        </w:rPr>
        <w:t>本项目具有新颖性。</w:t>
      </w:r>
    </w:p>
    <w:p w14:paraId="27185972">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4. 项目成果获国际同行高度评价</w:t>
      </w:r>
    </w:p>
    <w:p w14:paraId="6CF96594">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项目发表主要论文专著中，有2篇高被引论文（引用545次），项目研究成果受到国内外同行高度关注：代表性论文被孙宝国院士（北京工商大学）、谢明勇院士（南昌大学）、金征宇院士（江南大学）、薛长湖院士（中国海洋大学）等4位中国工程院院士团队，以及加拿大皇家科学院D.S. Jayas院士、H.S. Ramaswamy院士、澳大利亚科学院R.G. Gilbert院士、荷兰皇家艺术与科学院R.G.F. Visser院士等国外院士团队在Food Hydrocolloids，Food Chemistry，Food Frontiers等国际期刊论文中引用并给予正面评价。其中孙宝国院士在全谷物燕麦加工综述中引用本项目燕麦蒸制灭酶/β-葡聚糖研究成果；金征宇院士团队5篇论文引用本项目淀粉脱支改性系列成果（其他附件1.4）。研究团队主办、承办多次国内外学术及产业会议，先后多次受邀在国际谷物化学家协会年会、国际燕麦会议、国际荞麦会议、中国粮油学会、中国食品科学技术等国内外会议上作特邀学术报告，引起了国内外同行广泛关注（其它附件1.5）</w:t>
      </w:r>
    </w:p>
    <w:p w14:paraId="161C7599">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5. 政府部门或技术部门意见</w:t>
      </w:r>
    </w:p>
    <w:p w14:paraId="71150703">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hint="eastAsia" w:ascii="宋体" w:hAnsi="宋体" w:eastAsia="宋体" w:cs="宋体"/>
          <w:b/>
          <w:bCs/>
          <w:kern w:val="0"/>
          <w:sz w:val="21"/>
          <w:szCs w:val="21"/>
        </w:rPr>
      </w:pPr>
      <w:r>
        <w:rPr>
          <w:rFonts w:ascii="Times New Roman" w:hAnsi="Times New Roman" w:eastAsia="宋体" w:cs="Times New Roman"/>
          <w:kern w:val="0"/>
          <w:sz w:val="21"/>
          <w:szCs w:val="21"/>
        </w:rPr>
        <w:t>项目建成</w:t>
      </w:r>
      <w:r>
        <w:rPr>
          <w:rFonts w:hint="eastAsia" w:ascii="宋体" w:hAnsi="宋体" w:eastAsia="宋体" w:cs="宋体"/>
          <w:kern w:val="0"/>
          <w:sz w:val="21"/>
          <w:szCs w:val="21"/>
        </w:rPr>
        <w:t>“陕西省谷物科学国际合作基地”“国家燕麦荞麦产业技术体系加工研究室”和“陕西省谷物科学创新团队”3个国际化科研合作创新平台。</w:t>
      </w:r>
    </w:p>
    <w:p w14:paraId="13C41566">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6. 第一完成人国内外影响力</w:t>
      </w:r>
    </w:p>
    <w:p w14:paraId="192D14C6">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成果第一完成人胡新中，担任国家燕麦荞麦产业技术体系加工研究室主任、岗位科学家，农业农村部粮油农业标准化专家委员会，陕西省谷物科学与营养创新团队主任、陕西省农业农村标准化技术委员会委员、西安市专业标准化技术委员会委员、全国食品工业职业教育教学指导委员会委员（2021—2025年）</w:t>
      </w:r>
      <w:bookmarkStart w:id="0" w:name="OLE_LINK40"/>
      <w:r>
        <w:rPr>
          <w:rFonts w:ascii="Times New Roman" w:hAnsi="Times New Roman" w:eastAsia="宋体" w:cs="Times New Roman"/>
          <w:kern w:val="0"/>
          <w:sz w:val="21"/>
          <w:szCs w:val="21"/>
        </w:rPr>
        <w:t>，获评2023年度全国食品工业科技创新</w:t>
      </w:r>
      <w:bookmarkEnd w:id="0"/>
      <w:r>
        <w:rPr>
          <w:rFonts w:ascii="Times New Roman" w:hAnsi="Times New Roman" w:eastAsia="宋体" w:cs="Times New Roman"/>
          <w:kern w:val="0"/>
          <w:sz w:val="21"/>
          <w:szCs w:val="21"/>
        </w:rPr>
        <w:t>领军人物，2024、2025年连续入选</w:t>
      </w:r>
      <w:bookmarkStart w:id="1" w:name="OLE_LINK5"/>
      <w:r>
        <w:rPr>
          <w:rFonts w:ascii="Times New Roman" w:hAnsi="Times New Roman" w:eastAsia="宋体" w:cs="Times New Roman"/>
          <w:kern w:val="0"/>
          <w:sz w:val="21"/>
          <w:szCs w:val="21"/>
        </w:rPr>
        <w:t>全球前2%顶尖科学家</w:t>
      </w:r>
      <w:bookmarkEnd w:id="1"/>
      <w:r>
        <w:rPr>
          <w:rFonts w:ascii="Times New Roman" w:hAnsi="Times New Roman" w:eastAsia="宋体" w:cs="Times New Roman"/>
          <w:kern w:val="0"/>
          <w:sz w:val="21"/>
          <w:szCs w:val="21"/>
        </w:rPr>
        <w:t>榜单。</w:t>
      </w:r>
    </w:p>
    <w:p w14:paraId="60CBAB4E">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7. 项目验收意见</w:t>
      </w:r>
      <w:r>
        <w:rPr>
          <w:rFonts w:ascii="Times New Roman" w:hAnsi="Times New Roman" w:eastAsia="宋体" w:cs="Times New Roman"/>
          <w:sz w:val="21"/>
          <w:szCs w:val="21"/>
        </w:rPr>
        <w:t>（</w:t>
      </w:r>
      <w:r>
        <w:rPr>
          <w:rFonts w:hint="eastAsia" w:ascii="Times New Roman" w:hAnsi="Times New Roman" w:eastAsia="宋体" w:cs="Times New Roman"/>
          <w:sz w:val="21"/>
          <w:szCs w:val="21"/>
        </w:rPr>
        <w:t>必备附件2.1</w:t>
      </w:r>
      <w:r>
        <w:rPr>
          <w:rFonts w:ascii="Times New Roman" w:hAnsi="Times New Roman" w:eastAsia="宋体" w:cs="Times New Roman"/>
          <w:sz w:val="21"/>
          <w:szCs w:val="21"/>
        </w:rPr>
        <w:t>）</w:t>
      </w:r>
    </w:p>
    <w:p w14:paraId="484E7E42">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（1）2023年5月26日，由陕西省科技厅组织专家组对陕西省重点研发计划特色产业创新链项目</w:t>
      </w:r>
      <w:r>
        <w:rPr>
          <w:rFonts w:hint="eastAsia" w:ascii="宋体" w:hAnsi="宋体" w:eastAsia="宋体" w:cs="宋体"/>
          <w:kern w:val="0"/>
          <w:sz w:val="21"/>
          <w:szCs w:val="21"/>
        </w:rPr>
        <w:t>“小杂粮中主要功能成分活性保持及新产品创制关键技术研究”</w:t>
      </w:r>
      <w:r>
        <w:rPr>
          <w:rFonts w:ascii="Times New Roman" w:hAnsi="Times New Roman" w:eastAsia="宋体" w:cs="Times New Roman"/>
          <w:kern w:val="0"/>
          <w:sz w:val="21"/>
          <w:szCs w:val="21"/>
        </w:rPr>
        <w:t>（项目编号：2018TSCXL-NY-03-02）进行了结题验收。专家意见指出：项目组以荞麦、燕麦、小米等小杂粮为对象，探明加工过程活性成分变化规律，研发多项杂粮加工技术并开发相关产品；取得多项专利、论文、产品及国家标准成果，经费使用合规，完成合同指标，同意通过验收。</w:t>
      </w:r>
    </w:p>
    <w:p w14:paraId="71F149BD">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（2）2018年5月30日，由陕西省科技厅组织专家组对陕西省科技项目</w:t>
      </w:r>
      <w:r>
        <w:rPr>
          <w:rFonts w:hint="eastAsia" w:ascii="宋体" w:hAnsi="宋体" w:eastAsia="宋体" w:cs="宋体"/>
          <w:kern w:val="0"/>
          <w:sz w:val="21"/>
          <w:szCs w:val="21"/>
        </w:rPr>
        <w:t>“三麦新型加工关键技术研究及系列面制品开发与示范”</w:t>
      </w:r>
      <w:r>
        <w:rPr>
          <w:rFonts w:ascii="Times New Roman" w:hAnsi="Times New Roman" w:eastAsia="宋体" w:cs="Times New Roman"/>
          <w:kern w:val="0"/>
          <w:sz w:val="21"/>
          <w:szCs w:val="21"/>
        </w:rPr>
        <w:t>（项目编号：2015KTZDNY01-07）进行了结题验收。专家意见指出：项目组开展清洁面粉、三麦挤压、老酵子杂粮馒头等关键技术研究，完成多项工艺指标；产出论文、专利、标准、新产品等系列成果，经费使用合规，完成合同考核指标，同意通过验收。</w:t>
      </w:r>
    </w:p>
    <w:p w14:paraId="4B49260B">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（3）2024年11月14日，由陕西省科学技术厅组织专家组对陕西省科技创新团队</w:t>
      </w:r>
      <w:r>
        <w:rPr>
          <w:rFonts w:hint="eastAsia" w:ascii="宋体" w:hAnsi="宋体" w:eastAsia="宋体" w:cs="宋体"/>
          <w:kern w:val="0"/>
          <w:sz w:val="21"/>
          <w:szCs w:val="21"/>
        </w:rPr>
        <w:t>“谷物食品科学与营养创新团队”</w:t>
      </w:r>
      <w:r>
        <w:rPr>
          <w:rFonts w:ascii="Times New Roman" w:hAnsi="Times New Roman" w:eastAsia="宋体" w:cs="Times New Roman"/>
          <w:kern w:val="0"/>
          <w:sz w:val="21"/>
          <w:szCs w:val="21"/>
        </w:rPr>
        <w:t>（编号：2020TD-049）进行了验收。专家意见指出：项目组围绕谷物杂豆食品加工开展关键技术研究，取得多项科研成果与奖励，和多家企业合作产生效益；依托科研平台强化人才队伍建设，团队管理运行规范，完成合同任务，达到验收要求，同意通过验收。</w:t>
      </w:r>
    </w:p>
    <w:p w14:paraId="3D1821A6">
      <w:pPr>
        <w:keepNext w:val="0"/>
        <w:keepLines w:val="0"/>
        <w:pageBreakBefore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kern w:val="0"/>
          <w:sz w:val="21"/>
          <w:szCs w:val="21"/>
        </w:rPr>
      </w:pPr>
      <w:r>
        <w:rPr>
          <w:rFonts w:ascii="Times New Roman" w:hAnsi="Times New Roman" w:eastAsia="宋体" w:cs="Times New Roman"/>
          <w:kern w:val="0"/>
          <w:sz w:val="21"/>
          <w:szCs w:val="21"/>
        </w:rPr>
        <w:t>（4）2021年3月6日，由国家燕麦荞麦产业技术研发中心对现代农业产业技术体系燕麦荞麦体系加工岗位进行了验收。专家意见指出：项目组围绕燕麦荞麦产业开展大众食品、高附加值产品、低 GI 功能食品、活性成分快速检测等关键技术研究；产出多项新产品、标准、科研成果，深度服务龙头企业，开展产业扶贫与国际合作，完成人才培养任务；经费使用合规，超额完成五年任务目标，达到预期效果，同意通过验收。</w:t>
      </w:r>
    </w:p>
    <w:p w14:paraId="6F93F483">
      <w:pPr>
        <w:keepNext w:val="0"/>
        <w:keepLines w:val="0"/>
        <w:pageBreakBefore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kern w:val="0"/>
          <w:sz w:val="21"/>
          <w:szCs w:val="21"/>
        </w:rPr>
      </w:pPr>
      <w:r>
        <w:rPr>
          <w:rFonts w:ascii="Times New Roman" w:hAnsi="Times New Roman" w:eastAsia="宋体" w:cs="Times New Roman"/>
          <w:b/>
          <w:bCs/>
          <w:kern w:val="0"/>
          <w:sz w:val="21"/>
          <w:szCs w:val="21"/>
        </w:rPr>
        <w:t>8.国家相关媒体报道</w:t>
      </w:r>
    </w:p>
    <w:p w14:paraId="3EEF88F1">
      <w:pPr>
        <w:keepNext w:val="0"/>
        <w:keepLines w:val="0"/>
        <w:pageBreakBefore w:val="0"/>
        <w:widowControl/>
        <w:kinsoku/>
        <w:wordWrap/>
        <w:overflowPunct/>
        <w:topLinePunct w:val="0"/>
        <w:autoSpaceDE/>
        <w:autoSpaceDN/>
        <w:bidi w:val="0"/>
        <w:adjustRightInd/>
        <w:snapToGrid/>
        <w:spacing w:after="0" w:line="400" w:lineRule="exact"/>
        <w:ind w:firstLine="420" w:firstLineChars="200"/>
        <w:jc w:val="left"/>
        <w:textAlignment w:val="auto"/>
        <w:rPr>
          <w:bCs/>
          <w:sz w:val="22"/>
          <w:szCs w:val="22"/>
        </w:rPr>
      </w:pPr>
      <w:r>
        <w:rPr>
          <w:rFonts w:ascii="Times New Roman" w:hAnsi="Times New Roman" w:eastAsia="宋体" w:cs="Times New Roman"/>
          <w:kern w:val="0"/>
          <w:sz w:val="21"/>
          <w:szCs w:val="21"/>
        </w:rPr>
        <w:t>2021年5月10日，胡新中接受新华网采访，谈燕麦奶营养价值。</w:t>
      </w:r>
      <w:r>
        <w:rPr>
          <w:rFonts w:hint="eastAsia" w:ascii="Times New Roman" w:hAnsi="Times New Roman" w:eastAsia="宋体" w:cs="Times New Roman"/>
          <w:kern w:val="0"/>
          <w:sz w:val="21"/>
          <w:szCs w:val="21"/>
        </w:rPr>
        <w:t>2</w:t>
      </w:r>
      <w:r>
        <w:rPr>
          <w:rFonts w:ascii="Times New Roman" w:hAnsi="Times New Roman" w:eastAsia="宋体" w:cs="Times New Roman"/>
          <w:kern w:val="0"/>
          <w:sz w:val="21"/>
          <w:szCs w:val="21"/>
        </w:rPr>
        <w:t>022年10月11日，《新华日报》报道库伦旗科技特派团帮扶，送技到田头。2023年5月23日，央广网报道淳化荞面饸饹带动县域经济。2023年8月31日，陕西省科技厅参展东北亚博览会在省政府网站报道。2024年6月26日，内蒙古农牧厅报道胡新中团队调研赤峰试验站。2024年7月6日，人民网报道淳化荞麦产业大会。2022年6月19日，江苏荔枝新闻，胡新中分析燕麦酸奶、燕麦冰激凌的营养与适用人群。项目在原料品质、组分调控及精深加工方面成效获充分肯定，被《中国城市报》等多家媒体刊发，认为技术可推动杂粮产业升级，相关观点传播超十万次。</w:t>
      </w:r>
      <w:r>
        <w:rPr>
          <w:bCs/>
          <w:sz w:val="22"/>
          <w:szCs w:val="22"/>
        </w:rPr>
        <w:t xml:space="preserve"> </w:t>
      </w:r>
    </w:p>
    <w:p w14:paraId="5B0DC094">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rPr>
      </w:pPr>
      <w:r>
        <w:rPr>
          <w:rFonts w:hint="eastAsia"/>
          <w:b/>
          <w:lang w:val="en-US" w:eastAsia="zh-CN"/>
        </w:rPr>
        <w:t>五、</w:t>
      </w:r>
      <w:r>
        <w:rPr>
          <w:rFonts w:hint="eastAsia"/>
          <w:b/>
        </w:rPr>
        <w:t>应用情况</w:t>
      </w:r>
    </w:p>
    <w:p w14:paraId="1CD42B4B">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Cs w:val="21"/>
        </w:rPr>
      </w:pPr>
      <w:r>
        <w:rPr>
          <w:rFonts w:hint="eastAsia" w:ascii="宋体" w:hAnsi="宋体" w:eastAsia="宋体" w:cs="宋体"/>
          <w:szCs w:val="21"/>
        </w:rPr>
        <w:t>本成果在国家自然科学基金项目（31501405）“小扁豆中抗性淀粉的抗热性机理研究”，陕西省重点研发计划“小杂粮中主要功能成分活性保持及新产品创制关键技术研究”</w:t>
      </w:r>
      <w:r>
        <w:rPr>
          <w:rFonts w:ascii="Times New Roman" w:hAnsi="Times New Roman" w:eastAsia="宋体" w:cs="Times New Roman"/>
          <w:szCs w:val="21"/>
        </w:rPr>
        <w:t>（2018TSCXL-NY-03-02），陕西省科技统筹计划重点项目（2015KTZDNY01-07）</w:t>
      </w:r>
      <w:r>
        <w:rPr>
          <w:rFonts w:hint="eastAsia" w:ascii="宋体" w:hAnsi="宋体" w:eastAsia="宋体" w:cs="宋体"/>
          <w:szCs w:val="21"/>
        </w:rPr>
        <w:t>“三麦新型加工关键技术研究及系列面制品开发与示范”</w:t>
      </w:r>
      <w:r>
        <w:rPr>
          <w:rFonts w:ascii="Times New Roman" w:hAnsi="Times New Roman" w:eastAsia="宋体" w:cs="Times New Roman"/>
          <w:szCs w:val="21"/>
        </w:rPr>
        <w:t>，陕西省科技厅陕西省谷物食品科学与营养创新团队（2020TD-049），国家现代农业产业技术体系建设项目（</w:t>
      </w:r>
      <w:r>
        <w:rPr>
          <w:rFonts w:hint="eastAsia" w:ascii="Times New Roman" w:hAnsi="Times New Roman" w:eastAsia="宋体" w:cs="Times New Roman"/>
          <w:szCs w:val="21"/>
        </w:rPr>
        <w:t>nycytx-14，</w:t>
      </w:r>
      <w:r>
        <w:rPr>
          <w:rFonts w:ascii="Times New Roman" w:hAnsi="Times New Roman" w:eastAsia="宋体" w:cs="Times New Roman"/>
          <w:szCs w:val="21"/>
        </w:rPr>
        <w:t>CARS-07-E-1）</w:t>
      </w:r>
      <w:r>
        <w:rPr>
          <w:rFonts w:hint="eastAsia" w:ascii="宋体" w:hAnsi="宋体" w:eastAsia="宋体" w:cs="宋体"/>
          <w:szCs w:val="21"/>
        </w:rPr>
        <w:t>“燕麦加工与综合利用”等</w:t>
      </w:r>
      <w:r>
        <w:rPr>
          <w:rFonts w:ascii="Times New Roman" w:hAnsi="Times New Roman" w:eastAsia="宋体" w:cs="Times New Roman"/>
          <w:szCs w:val="21"/>
        </w:rPr>
        <w:t>技术开发与成果转化项目支持和推动下，通过科研、企业联动，构建杂粮“</w:t>
      </w:r>
      <w:r>
        <w:rPr>
          <w:rFonts w:ascii="Times New Roman" w:hAnsi="Times New Roman" w:eastAsia="宋体" w:cs="Times New Roman"/>
          <w:b/>
          <w:bCs/>
          <w:szCs w:val="21"/>
        </w:rPr>
        <w:t>加工理论突破—技术装备配套</w:t>
      </w:r>
      <w:r>
        <w:rPr>
          <w:rFonts w:ascii="Times New Roman" w:hAnsi="Times New Roman" w:eastAsia="宋体" w:cs="Times New Roman"/>
          <w:szCs w:val="21"/>
        </w:rPr>
        <w:t>—</w:t>
      </w:r>
      <w:r>
        <w:rPr>
          <w:rFonts w:ascii="Times New Roman" w:hAnsi="Times New Roman" w:eastAsia="宋体" w:cs="Times New Roman"/>
          <w:b/>
          <w:bCs/>
          <w:szCs w:val="21"/>
        </w:rPr>
        <w:t>科企联合研发—加工企业生产—领军企业培育—公共品牌打造—产业高质发展”</w:t>
      </w:r>
      <w:r>
        <w:rPr>
          <w:rFonts w:ascii="Times New Roman" w:hAnsi="Times New Roman" w:eastAsia="宋体" w:cs="Times New Roman"/>
          <w:szCs w:val="21"/>
        </w:rPr>
        <w:t>的全产业链科技创新及推广应用体系，推动了我国杂粮自主创新发展。</w:t>
      </w:r>
    </w:p>
    <w:p w14:paraId="10C61DEA">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2" w:firstLineChars="200"/>
        <w:jc w:val="left"/>
        <w:textAlignment w:val="auto"/>
        <w:rPr>
          <w:rFonts w:ascii="Times New Roman" w:hAnsi="Times New Roman" w:eastAsia="宋体" w:cs="Times New Roman"/>
          <w:b/>
          <w:bCs/>
          <w:szCs w:val="21"/>
        </w:rPr>
      </w:pPr>
      <w:r>
        <w:rPr>
          <w:rFonts w:ascii="Times New Roman" w:hAnsi="Times New Roman" w:eastAsia="宋体" w:cs="Times New Roman"/>
          <w:b/>
          <w:bCs/>
          <w:szCs w:val="21"/>
        </w:rPr>
        <w:t>（1）制定加工适应性评价指标体系，实现了优质专用原料供应</w:t>
      </w:r>
    </w:p>
    <w:p w14:paraId="7B720050">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我国燕麦产区分布在山区、丘陵、沙化、盐碱、寒旱等生态脆弱区，针对气候类型复杂、土壤类型多样、海拔高低不同、纬度跨度较大等现状，原料的蛋白质、脂肪、β葡聚糖、籽粒大小、千粒重差异很大，很难找到简单易行的指标体系指导企业加工原料筛选。研发了燕麦籽粒硬度指标体系，</w:t>
      </w:r>
      <w:r>
        <w:rPr>
          <w:rFonts w:ascii="Times New Roman" w:hAnsi="Times New Roman" w:eastAsia="宋体" w:cs="Times New Roman"/>
          <w:szCs w:val="21"/>
          <w:shd w:val="clear" w:color="auto" w:fill="FFFFFF"/>
        </w:rPr>
        <w:t>SKCS籽粒硬度测定方法分类：低硬度≤20.41 N，20.42 N&lt; 中硬度 &lt;26.20 N，高硬度≥26.21 N。高硬度燕麦包括坝莜1号、乌莜1号、白燕20、张莜15号、贝勒等品种。中硬度燕麦包括坝燕4号、牧丰、坝燕7号、蒙燕1号、白燕24、张莜9号、魏都莜5号等品种，低硬度燕麦包括兴燕1号、兴燕3号、坝莜22号、坝莜19号、坝莜18</w:t>
      </w:r>
      <w:r>
        <w:rPr>
          <w:rFonts w:ascii="Times New Roman" w:hAnsi="Times New Roman" w:eastAsia="宋体" w:cs="Times New Roman"/>
          <w:szCs w:val="21"/>
        </w:rPr>
        <w:t>号、坝莜17号、坝莜14号、坝莜3号等品种。硬质燕麦总体偏少，需要大力增加硬质燕麦品种选育。</w:t>
      </w:r>
    </w:p>
    <w:p w14:paraId="6ADCA32E">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szCs w:val="21"/>
        </w:rPr>
      </w:pPr>
      <w:r>
        <w:rPr>
          <w:rFonts w:hint="eastAsia" w:cs="Times New Roman"/>
          <w:b/>
          <w:bCs/>
          <w:szCs w:val="21"/>
          <w:lang w:eastAsia="zh-CN"/>
        </w:rPr>
        <w:t>（</w:t>
      </w:r>
      <w:r>
        <w:rPr>
          <w:rFonts w:hint="eastAsia" w:cs="Times New Roman"/>
          <w:b/>
          <w:bCs/>
          <w:szCs w:val="21"/>
          <w:lang w:val="en-US" w:eastAsia="zh-CN"/>
        </w:rPr>
        <w:t>2</w:t>
      </w:r>
      <w:r>
        <w:rPr>
          <w:rFonts w:hint="eastAsia" w:cs="Times New Roman"/>
          <w:b/>
          <w:bCs/>
          <w:szCs w:val="21"/>
          <w:lang w:eastAsia="zh-CN"/>
        </w:rPr>
        <w:t>）</w:t>
      </w:r>
      <w:r>
        <w:rPr>
          <w:rFonts w:ascii="Times New Roman" w:hAnsi="Times New Roman" w:eastAsia="宋体" w:cs="Times New Roman"/>
          <w:b/>
          <w:bCs/>
          <w:szCs w:val="21"/>
        </w:rPr>
        <w:t>新技术装备在领军企业应用，推动了产业迭代升级</w:t>
      </w:r>
    </w:p>
    <w:p w14:paraId="7DC08341">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研制荞面饸饹品质提升技术、整籽粒挤压配合老化调控燕麦面条技术、</w:t>
      </w:r>
      <w:r>
        <w:rPr>
          <w:rFonts w:hint="eastAsia" w:ascii="Times New Roman" w:hAnsi="Times New Roman" w:eastAsia="宋体" w:cs="Times New Roman"/>
          <w:szCs w:val="21"/>
        </w:rPr>
        <w:t>“两蒸一烘”</w:t>
      </w:r>
      <w:r>
        <w:rPr>
          <w:rFonts w:ascii="Times New Roman" w:hAnsi="Times New Roman" w:eastAsia="宋体" w:cs="Times New Roman"/>
          <w:szCs w:val="21"/>
        </w:rPr>
        <w:t>大片燕麦片加工技术，轻碾多磨碾米留胚燕麦米加工技术、低GI大片燕麦麸生产技术、抗性淀粉绿色制备技术及装备共6项，在丝路兴淳公司、金沙河陕西公司、荞乡遇餐饮公司、乐鲜食品公司、西麦公司、</w:t>
      </w:r>
      <w:r>
        <w:rPr>
          <w:rFonts w:hint="eastAsia" w:ascii="Times New Roman" w:hAnsi="Times New Roman" w:eastAsia="宋体" w:cs="Times New Roman"/>
          <w:szCs w:val="21"/>
        </w:rPr>
        <w:t>醇源</w:t>
      </w:r>
      <w:r>
        <w:rPr>
          <w:rFonts w:ascii="Times New Roman" w:hAnsi="Times New Roman" w:eastAsia="宋体" w:cs="Times New Roman"/>
          <w:szCs w:val="21"/>
        </w:rPr>
        <w:t>公司、阴山优麦公司、三产融合公司、国麦公司等13家行业领军企业推广应用。</w:t>
      </w:r>
    </w:p>
    <w:p w14:paraId="090796D0">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2" w:firstLineChars="200"/>
        <w:textAlignment w:val="auto"/>
        <w:rPr>
          <w:rFonts w:ascii="Times New Roman" w:hAnsi="Times New Roman" w:eastAsia="宋体" w:cs="Times New Roman"/>
          <w:b/>
          <w:bCs/>
          <w:szCs w:val="21"/>
        </w:rPr>
      </w:pPr>
      <w:r>
        <w:rPr>
          <w:rFonts w:ascii="Times New Roman" w:hAnsi="Times New Roman" w:eastAsia="宋体" w:cs="Times New Roman"/>
          <w:b/>
          <w:bCs/>
          <w:szCs w:val="21"/>
        </w:rPr>
        <w:t>（3）新产品商品化落地走向市场，满足了高质产品需求</w:t>
      </w:r>
    </w:p>
    <w:p w14:paraId="63325BE9">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成果研发的低GI荞面饸饹，全燕麦面条，高直链淀粉白芸豆豆沙，高纤、高蛋白、大粒、胚芽等燕麦片，萌动、整胚燕麦米，低GI燕麦麸，抗性淀粉胶囊等共计6大类11个杂粮产品，满足市场多元化需求。燕麦米价格由3.5元/kg增至30元/kg。大片燕麦片价格由10元/kg升至25元/kg。</w:t>
      </w:r>
    </w:p>
    <w:p w14:paraId="77F0DF38">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成果</w:t>
      </w:r>
      <w:r>
        <w:rPr>
          <w:rFonts w:ascii="Times New Roman" w:hAnsi="Times New Roman" w:eastAsia="宋体" w:cs="Times New Roman"/>
          <w:szCs w:val="21"/>
          <w:lang w:val="zh-CN"/>
        </w:rPr>
        <w:t>主要应用单位</w:t>
      </w:r>
      <w:r>
        <w:rPr>
          <w:rFonts w:hint="eastAsia" w:ascii="Times New Roman" w:hAnsi="Times New Roman" w:eastAsia="宋体" w:cs="Times New Roman"/>
          <w:szCs w:val="21"/>
          <w:lang w:val="en-US" w:eastAsia="zh-CN"/>
        </w:rPr>
        <w:t>有陕西金沙河面业有限责任公司、淳化县丝路兴淳农业科技发展有限公司、陕西荞乡遇餐饮管理有限公司、西安乐鲜食品有限公司、江苏西麦食品有限责任公司、三产融合（内蒙古）高新科技股份有限公司、内蒙古阴山优麦食品有限公司、内蒙古塞宝燕麦食品有限公司、定边县塞雪粮油工贸有限责任公司、醇源食品（禹城）有限公司等。</w:t>
      </w:r>
    </w:p>
    <w:p w14:paraId="122C1714">
      <w:pPr>
        <w:pStyle w:val="3"/>
        <w:keepNext w:val="0"/>
        <w:keepLines w:val="0"/>
        <w:pageBreakBefore w:val="0"/>
        <w:widowControl w:val="0"/>
        <w:kinsoku/>
        <w:wordWrap/>
        <w:overflowPunct/>
        <w:topLinePunct w:val="0"/>
        <w:autoSpaceDE/>
        <w:autoSpaceDN/>
        <w:bidi w:val="0"/>
        <w:adjustRightInd w:val="0"/>
        <w:snapToGrid w:val="0"/>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lang w:val="zh-CN"/>
        </w:rPr>
        <w:t>成果推广应用扭转了我国</w:t>
      </w:r>
      <w:r>
        <w:rPr>
          <w:rFonts w:ascii="Times New Roman" w:hAnsi="Times New Roman" w:eastAsia="宋体" w:cs="Times New Roman"/>
          <w:szCs w:val="21"/>
        </w:rPr>
        <w:t>杂粮</w:t>
      </w:r>
      <w:r>
        <w:rPr>
          <w:rFonts w:ascii="Times New Roman" w:hAnsi="Times New Roman" w:eastAsia="宋体" w:cs="Times New Roman"/>
          <w:szCs w:val="21"/>
          <w:lang w:val="zh-CN"/>
        </w:rPr>
        <w:t>产业优质原料</w:t>
      </w:r>
      <w:r>
        <w:rPr>
          <w:rFonts w:ascii="Times New Roman" w:hAnsi="Times New Roman" w:eastAsia="宋体" w:cs="Times New Roman"/>
          <w:szCs w:val="21"/>
        </w:rPr>
        <w:t>加工适应性差</w:t>
      </w:r>
      <w:r>
        <w:rPr>
          <w:rFonts w:ascii="Times New Roman" w:hAnsi="Times New Roman" w:eastAsia="宋体" w:cs="Times New Roman"/>
          <w:szCs w:val="21"/>
          <w:lang w:val="zh-CN"/>
        </w:rPr>
        <w:t>、装备</w:t>
      </w:r>
      <w:r>
        <w:rPr>
          <w:rFonts w:ascii="Times New Roman" w:hAnsi="Times New Roman" w:eastAsia="宋体" w:cs="Times New Roman"/>
          <w:szCs w:val="21"/>
        </w:rPr>
        <w:t>自动化程度低</w:t>
      </w:r>
      <w:r>
        <w:rPr>
          <w:rFonts w:ascii="Times New Roman" w:hAnsi="Times New Roman" w:eastAsia="宋体" w:cs="Times New Roman"/>
          <w:szCs w:val="21"/>
          <w:lang w:val="zh-CN"/>
        </w:rPr>
        <w:t>和产品</w:t>
      </w:r>
      <w:r>
        <w:rPr>
          <w:rFonts w:ascii="Times New Roman" w:hAnsi="Times New Roman" w:eastAsia="宋体" w:cs="Times New Roman"/>
          <w:szCs w:val="21"/>
        </w:rPr>
        <w:t>附加值不高</w:t>
      </w:r>
      <w:r>
        <w:rPr>
          <w:rFonts w:ascii="Times New Roman" w:hAnsi="Times New Roman" w:eastAsia="宋体" w:cs="Times New Roman"/>
          <w:szCs w:val="21"/>
          <w:lang w:val="zh-CN"/>
        </w:rPr>
        <w:t>的局面，极大提升了我国</w:t>
      </w:r>
      <w:r>
        <w:rPr>
          <w:rFonts w:ascii="Times New Roman" w:hAnsi="Times New Roman" w:eastAsia="宋体" w:cs="Times New Roman"/>
          <w:szCs w:val="21"/>
        </w:rPr>
        <w:t>杂粮</w:t>
      </w:r>
      <w:r>
        <w:rPr>
          <w:rFonts w:ascii="Times New Roman" w:hAnsi="Times New Roman" w:eastAsia="宋体" w:cs="Times New Roman"/>
          <w:szCs w:val="21"/>
          <w:lang w:val="zh-CN"/>
        </w:rPr>
        <w:t>产业</w:t>
      </w:r>
      <w:r>
        <w:rPr>
          <w:rFonts w:ascii="Times New Roman" w:hAnsi="Times New Roman" w:eastAsia="宋体" w:cs="Times New Roman"/>
          <w:szCs w:val="21"/>
        </w:rPr>
        <w:t>自主创新</w:t>
      </w:r>
      <w:r>
        <w:rPr>
          <w:rFonts w:ascii="Times New Roman" w:hAnsi="Times New Roman" w:eastAsia="宋体" w:cs="Times New Roman"/>
          <w:szCs w:val="21"/>
          <w:lang w:val="zh-CN"/>
        </w:rPr>
        <w:t>发展水平。</w:t>
      </w:r>
    </w:p>
    <w:p w14:paraId="5413FCB5">
      <w:pPr>
        <w:adjustRightInd w:val="0"/>
        <w:snapToGrid w:val="0"/>
        <w:spacing w:line="360" w:lineRule="exact"/>
        <w:ind w:firstLine="422" w:firstLineChars="200"/>
        <w:jc w:val="left"/>
        <w:outlineLvl w:val="2"/>
        <w:rPr>
          <w:b/>
          <w:color w:val="0D0D0D"/>
          <w:sz w:val="24"/>
          <w:szCs w:val="24"/>
        </w:rPr>
      </w:pPr>
      <w:r>
        <w:rPr>
          <w:b/>
          <w:color w:val="0D0D0D"/>
          <w:szCs w:val="24"/>
        </w:rPr>
        <w:br w:type="page"/>
      </w:r>
    </w:p>
    <w:p w14:paraId="5600FDB2">
      <w:pPr>
        <w:pStyle w:val="5"/>
        <w:ind w:firstLine="0" w:firstLineChars="0"/>
        <w:jc w:val="left"/>
        <w:rPr>
          <w:rFonts w:ascii="Times New Roman"/>
          <w:b/>
          <w:color w:val="0D0D0D"/>
          <w:szCs w:val="24"/>
        </w:rPr>
        <w:sectPr>
          <w:pgSz w:w="11906" w:h="16838"/>
          <w:pgMar w:top="1440" w:right="1800" w:bottom="1440" w:left="1800" w:header="851" w:footer="992" w:gutter="0"/>
          <w:cols w:space="425" w:num="1"/>
          <w:docGrid w:type="lines" w:linePitch="312" w:charSpace="0"/>
        </w:sectPr>
      </w:pPr>
    </w:p>
    <w:p w14:paraId="39A1CEB9">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ascii="宋体" w:hAnsi="宋体"/>
          <w:b/>
          <w:szCs w:val="32"/>
        </w:rPr>
      </w:pPr>
      <w:r>
        <w:rPr>
          <w:rFonts w:hint="eastAsia"/>
          <w:b/>
          <w:lang w:val="en-US" w:eastAsia="zh-CN"/>
        </w:rPr>
        <w:t>六、</w:t>
      </w:r>
      <w:r>
        <w:rPr>
          <w:rFonts w:hint="eastAsia"/>
          <w:b/>
        </w:rPr>
        <w:t>主要知识产权和标准规范目录（发明奖和进步奖填写，限10条)</w:t>
      </w:r>
    </w:p>
    <w:tbl>
      <w:tblPr>
        <w:tblStyle w:val="1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99"/>
        <w:gridCol w:w="1701"/>
        <w:gridCol w:w="2693"/>
        <w:gridCol w:w="1134"/>
        <w:gridCol w:w="1418"/>
        <w:gridCol w:w="1417"/>
        <w:gridCol w:w="1134"/>
        <w:gridCol w:w="1134"/>
        <w:gridCol w:w="2289"/>
      </w:tblGrid>
      <w:tr w14:paraId="67C7BD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7429D0F6">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序号</w:t>
            </w:r>
          </w:p>
        </w:tc>
        <w:tc>
          <w:tcPr>
            <w:tcW w:w="1701" w:type="dxa"/>
            <w:tcBorders>
              <w:top w:val="single" w:color="auto" w:sz="8" w:space="0"/>
              <w:left w:val="single" w:color="auto" w:sz="8" w:space="0"/>
              <w:bottom w:val="single" w:color="auto" w:sz="8" w:space="0"/>
              <w:right w:val="single" w:color="auto" w:sz="8" w:space="0"/>
            </w:tcBorders>
            <w:vAlign w:val="center"/>
          </w:tcPr>
          <w:p w14:paraId="2EC933D5">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知识产权类别</w:t>
            </w:r>
          </w:p>
        </w:tc>
        <w:tc>
          <w:tcPr>
            <w:tcW w:w="2693" w:type="dxa"/>
            <w:tcBorders>
              <w:top w:val="single" w:color="auto" w:sz="8" w:space="0"/>
              <w:left w:val="single" w:color="auto" w:sz="8" w:space="0"/>
              <w:bottom w:val="single" w:color="auto" w:sz="8" w:space="0"/>
              <w:right w:val="single" w:color="auto" w:sz="8" w:space="0"/>
            </w:tcBorders>
            <w:vAlign w:val="center"/>
          </w:tcPr>
          <w:p w14:paraId="29BCCBA1">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知识产权具体名称</w:t>
            </w:r>
          </w:p>
        </w:tc>
        <w:tc>
          <w:tcPr>
            <w:tcW w:w="1134" w:type="dxa"/>
            <w:tcBorders>
              <w:top w:val="single" w:color="auto" w:sz="8" w:space="0"/>
              <w:left w:val="single" w:color="auto" w:sz="8" w:space="0"/>
              <w:bottom w:val="single" w:color="auto" w:sz="8" w:space="0"/>
              <w:right w:val="single" w:color="auto" w:sz="8" w:space="0"/>
            </w:tcBorders>
            <w:vAlign w:val="center"/>
          </w:tcPr>
          <w:p w14:paraId="43C56E02">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国家</w:t>
            </w:r>
          </w:p>
          <w:p w14:paraId="44B1D138">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（地区）</w:t>
            </w:r>
          </w:p>
        </w:tc>
        <w:tc>
          <w:tcPr>
            <w:tcW w:w="1418" w:type="dxa"/>
            <w:tcBorders>
              <w:top w:val="single" w:color="auto" w:sz="8" w:space="0"/>
              <w:left w:val="single" w:color="auto" w:sz="8" w:space="0"/>
              <w:bottom w:val="single" w:color="auto" w:sz="8" w:space="0"/>
              <w:right w:val="single" w:color="auto" w:sz="8" w:space="0"/>
            </w:tcBorders>
            <w:vAlign w:val="center"/>
          </w:tcPr>
          <w:p w14:paraId="7D8C91CE">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授权号</w:t>
            </w:r>
          </w:p>
        </w:tc>
        <w:tc>
          <w:tcPr>
            <w:tcW w:w="1417" w:type="dxa"/>
            <w:tcBorders>
              <w:top w:val="single" w:color="auto" w:sz="8" w:space="0"/>
              <w:left w:val="single" w:color="auto" w:sz="8" w:space="0"/>
              <w:bottom w:val="single" w:color="auto" w:sz="8" w:space="0"/>
              <w:right w:val="single" w:color="auto" w:sz="8" w:space="0"/>
            </w:tcBorders>
            <w:vAlign w:val="center"/>
          </w:tcPr>
          <w:p w14:paraId="64D844FB">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授权日期</w:t>
            </w:r>
          </w:p>
        </w:tc>
        <w:tc>
          <w:tcPr>
            <w:tcW w:w="1134" w:type="dxa"/>
            <w:tcBorders>
              <w:top w:val="single" w:color="auto" w:sz="8" w:space="0"/>
              <w:left w:val="single" w:color="auto" w:sz="8" w:space="0"/>
              <w:bottom w:val="single" w:color="auto" w:sz="8" w:space="0"/>
              <w:right w:val="single" w:color="auto" w:sz="8" w:space="0"/>
            </w:tcBorders>
            <w:vAlign w:val="center"/>
          </w:tcPr>
          <w:p w14:paraId="6DE51CAB">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证书编号</w:t>
            </w:r>
          </w:p>
        </w:tc>
        <w:tc>
          <w:tcPr>
            <w:tcW w:w="1134" w:type="dxa"/>
            <w:tcBorders>
              <w:top w:val="single" w:color="auto" w:sz="8" w:space="0"/>
              <w:left w:val="single" w:color="auto" w:sz="8" w:space="0"/>
              <w:bottom w:val="single" w:color="auto" w:sz="8" w:space="0"/>
              <w:right w:val="single" w:color="auto" w:sz="8" w:space="0"/>
            </w:tcBorders>
            <w:vAlign w:val="center"/>
          </w:tcPr>
          <w:p w14:paraId="3342D251">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权利人</w:t>
            </w:r>
          </w:p>
        </w:tc>
        <w:tc>
          <w:tcPr>
            <w:tcW w:w="2289" w:type="dxa"/>
            <w:tcBorders>
              <w:top w:val="single" w:color="auto" w:sz="8" w:space="0"/>
              <w:left w:val="single" w:color="auto" w:sz="8" w:space="0"/>
              <w:bottom w:val="single" w:color="auto" w:sz="8" w:space="0"/>
              <w:right w:val="single" w:color="auto" w:sz="8" w:space="0"/>
            </w:tcBorders>
            <w:vAlign w:val="center"/>
          </w:tcPr>
          <w:p w14:paraId="40DBEF82">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发明人</w:t>
            </w:r>
          </w:p>
        </w:tc>
      </w:tr>
      <w:tr w14:paraId="6C1257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3878783D">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1</w:t>
            </w:r>
          </w:p>
        </w:tc>
        <w:tc>
          <w:tcPr>
            <w:tcW w:w="1701" w:type="dxa"/>
            <w:tcBorders>
              <w:top w:val="single" w:color="auto" w:sz="8" w:space="0"/>
              <w:left w:val="single" w:color="auto" w:sz="8" w:space="0"/>
              <w:bottom w:val="single" w:color="auto" w:sz="8" w:space="0"/>
              <w:right w:val="single" w:color="auto" w:sz="8" w:space="0"/>
            </w:tcBorders>
            <w:vAlign w:val="center"/>
          </w:tcPr>
          <w:p w14:paraId="26BFABE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发明专利</w:t>
            </w:r>
          </w:p>
        </w:tc>
        <w:tc>
          <w:tcPr>
            <w:tcW w:w="2693" w:type="dxa"/>
            <w:tcBorders>
              <w:top w:val="single" w:color="auto" w:sz="8" w:space="0"/>
              <w:left w:val="single" w:color="auto" w:sz="8" w:space="0"/>
              <w:bottom w:val="single" w:color="auto" w:sz="8" w:space="0"/>
              <w:right w:val="single" w:color="auto" w:sz="8" w:space="0"/>
            </w:tcBorders>
            <w:vAlign w:val="center"/>
          </w:tcPr>
          <w:p w14:paraId="68E79AC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一种燕麦全籽粒挤压产品的生产方法</w:t>
            </w:r>
          </w:p>
        </w:tc>
        <w:tc>
          <w:tcPr>
            <w:tcW w:w="1134" w:type="dxa"/>
            <w:tcBorders>
              <w:top w:val="single" w:color="auto" w:sz="8" w:space="0"/>
              <w:left w:val="single" w:color="auto" w:sz="8" w:space="0"/>
              <w:bottom w:val="single" w:color="auto" w:sz="8" w:space="0"/>
              <w:right w:val="single" w:color="auto" w:sz="8" w:space="0"/>
            </w:tcBorders>
            <w:vAlign w:val="center"/>
          </w:tcPr>
          <w:p w14:paraId="575A47D3">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0729823E">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ZL201510144050.1</w:t>
            </w:r>
          </w:p>
        </w:tc>
        <w:tc>
          <w:tcPr>
            <w:tcW w:w="1417" w:type="dxa"/>
            <w:tcBorders>
              <w:top w:val="single" w:color="auto" w:sz="8" w:space="0"/>
              <w:left w:val="single" w:color="auto" w:sz="8" w:space="0"/>
              <w:bottom w:val="single" w:color="auto" w:sz="8" w:space="0"/>
              <w:right w:val="single" w:color="auto" w:sz="8" w:space="0"/>
            </w:tcBorders>
            <w:vAlign w:val="center"/>
          </w:tcPr>
          <w:p w14:paraId="7B1F7810">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2018.08.24</w:t>
            </w:r>
          </w:p>
        </w:tc>
        <w:tc>
          <w:tcPr>
            <w:tcW w:w="1134" w:type="dxa"/>
            <w:tcBorders>
              <w:top w:val="single" w:color="auto" w:sz="8" w:space="0"/>
              <w:left w:val="single" w:color="auto" w:sz="8" w:space="0"/>
              <w:bottom w:val="single" w:color="auto" w:sz="8" w:space="0"/>
              <w:right w:val="single" w:color="auto" w:sz="8" w:space="0"/>
            </w:tcBorders>
            <w:vAlign w:val="center"/>
          </w:tcPr>
          <w:p w14:paraId="2A11A44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3044268</w:t>
            </w:r>
          </w:p>
        </w:tc>
        <w:tc>
          <w:tcPr>
            <w:tcW w:w="1134" w:type="dxa"/>
            <w:tcBorders>
              <w:top w:val="single" w:color="auto" w:sz="8" w:space="0"/>
              <w:left w:val="single" w:color="auto" w:sz="8" w:space="0"/>
              <w:bottom w:val="single" w:color="auto" w:sz="8" w:space="0"/>
              <w:right w:val="single" w:color="auto" w:sz="8" w:space="0"/>
            </w:tcBorders>
            <w:vAlign w:val="center"/>
          </w:tcPr>
          <w:p w14:paraId="1915932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陕西师范大学</w:t>
            </w:r>
          </w:p>
        </w:tc>
        <w:tc>
          <w:tcPr>
            <w:tcW w:w="2289" w:type="dxa"/>
            <w:tcBorders>
              <w:top w:val="single" w:color="auto" w:sz="8" w:space="0"/>
              <w:left w:val="single" w:color="auto" w:sz="8" w:space="0"/>
              <w:bottom w:val="single" w:color="auto" w:sz="8" w:space="0"/>
              <w:right w:val="single" w:color="auto" w:sz="8" w:space="0"/>
            </w:tcBorders>
            <w:vAlign w:val="center"/>
          </w:tcPr>
          <w:p w14:paraId="0E796562">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胡新中、张哲学、李小平、赵武奇</w:t>
            </w:r>
          </w:p>
        </w:tc>
      </w:tr>
      <w:tr w14:paraId="42125A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0B94A404">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2</w:t>
            </w:r>
          </w:p>
        </w:tc>
        <w:tc>
          <w:tcPr>
            <w:tcW w:w="1701" w:type="dxa"/>
            <w:tcBorders>
              <w:top w:val="single" w:color="auto" w:sz="8" w:space="0"/>
              <w:left w:val="single" w:color="auto" w:sz="8" w:space="0"/>
              <w:bottom w:val="single" w:color="auto" w:sz="8" w:space="0"/>
              <w:right w:val="single" w:color="auto" w:sz="8" w:space="0"/>
            </w:tcBorders>
            <w:vAlign w:val="center"/>
          </w:tcPr>
          <w:p w14:paraId="549BEBD4">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发明专利</w:t>
            </w:r>
          </w:p>
        </w:tc>
        <w:tc>
          <w:tcPr>
            <w:tcW w:w="2693" w:type="dxa"/>
            <w:tcBorders>
              <w:top w:val="single" w:color="auto" w:sz="8" w:space="0"/>
              <w:left w:val="single" w:color="auto" w:sz="8" w:space="0"/>
              <w:bottom w:val="single" w:color="auto" w:sz="8" w:space="0"/>
              <w:right w:val="single" w:color="auto" w:sz="8" w:space="0"/>
            </w:tcBorders>
            <w:vAlign w:val="center"/>
          </w:tcPr>
          <w:p w14:paraId="11891AA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一种速冻熟燕麦窝窝及其制作方法</w:t>
            </w:r>
          </w:p>
        </w:tc>
        <w:tc>
          <w:tcPr>
            <w:tcW w:w="1134" w:type="dxa"/>
            <w:tcBorders>
              <w:top w:val="single" w:color="auto" w:sz="8" w:space="0"/>
              <w:left w:val="single" w:color="auto" w:sz="8" w:space="0"/>
              <w:bottom w:val="single" w:color="auto" w:sz="8" w:space="0"/>
              <w:right w:val="single" w:color="auto" w:sz="8" w:space="0"/>
            </w:tcBorders>
            <w:vAlign w:val="center"/>
          </w:tcPr>
          <w:p w14:paraId="3481D23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7D017D72">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ZL202111069937.0</w:t>
            </w:r>
          </w:p>
        </w:tc>
        <w:tc>
          <w:tcPr>
            <w:tcW w:w="1417" w:type="dxa"/>
            <w:tcBorders>
              <w:top w:val="single" w:color="auto" w:sz="8" w:space="0"/>
              <w:left w:val="single" w:color="auto" w:sz="8" w:space="0"/>
              <w:bottom w:val="single" w:color="auto" w:sz="8" w:space="0"/>
              <w:right w:val="single" w:color="auto" w:sz="8" w:space="0"/>
            </w:tcBorders>
            <w:vAlign w:val="center"/>
          </w:tcPr>
          <w:p w14:paraId="5E3C264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2024.01.16</w:t>
            </w:r>
          </w:p>
        </w:tc>
        <w:tc>
          <w:tcPr>
            <w:tcW w:w="1134" w:type="dxa"/>
            <w:tcBorders>
              <w:top w:val="single" w:color="auto" w:sz="8" w:space="0"/>
              <w:left w:val="single" w:color="auto" w:sz="8" w:space="0"/>
              <w:bottom w:val="single" w:color="auto" w:sz="8" w:space="0"/>
              <w:right w:val="single" w:color="auto" w:sz="8" w:space="0"/>
            </w:tcBorders>
            <w:vAlign w:val="center"/>
          </w:tcPr>
          <w:p w14:paraId="3FE8C28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6623339</w:t>
            </w:r>
          </w:p>
        </w:tc>
        <w:tc>
          <w:tcPr>
            <w:tcW w:w="1134" w:type="dxa"/>
            <w:tcBorders>
              <w:top w:val="single" w:color="auto" w:sz="8" w:space="0"/>
              <w:left w:val="single" w:color="auto" w:sz="8" w:space="0"/>
              <w:bottom w:val="single" w:color="auto" w:sz="8" w:space="0"/>
              <w:right w:val="single" w:color="auto" w:sz="8" w:space="0"/>
            </w:tcBorders>
            <w:vAlign w:val="center"/>
          </w:tcPr>
          <w:p w14:paraId="277B355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bCs/>
                <w:sz w:val="18"/>
                <w:szCs w:val="18"/>
              </w:rPr>
              <w:t>陕西师范大学</w:t>
            </w:r>
          </w:p>
        </w:tc>
        <w:tc>
          <w:tcPr>
            <w:tcW w:w="2289" w:type="dxa"/>
            <w:tcBorders>
              <w:top w:val="single" w:color="auto" w:sz="8" w:space="0"/>
              <w:left w:val="single" w:color="auto" w:sz="8" w:space="0"/>
              <w:bottom w:val="single" w:color="auto" w:sz="8" w:space="0"/>
              <w:right w:val="single" w:color="auto" w:sz="8" w:space="0"/>
            </w:tcBorders>
            <w:vAlign w:val="center"/>
          </w:tcPr>
          <w:p w14:paraId="0C846139">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胡新中、闫喜梅、龚玉圆、王晓龙</w:t>
            </w:r>
          </w:p>
        </w:tc>
      </w:tr>
      <w:tr w14:paraId="6BD639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0AA09C1C">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3</w:t>
            </w:r>
          </w:p>
        </w:tc>
        <w:tc>
          <w:tcPr>
            <w:tcW w:w="1701" w:type="dxa"/>
            <w:tcBorders>
              <w:top w:val="single" w:color="auto" w:sz="8" w:space="0"/>
              <w:left w:val="single" w:color="auto" w:sz="8" w:space="0"/>
              <w:bottom w:val="single" w:color="auto" w:sz="8" w:space="0"/>
              <w:right w:val="single" w:color="auto" w:sz="8" w:space="0"/>
            </w:tcBorders>
            <w:vAlign w:val="center"/>
          </w:tcPr>
          <w:p w14:paraId="1F640EE7">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实用新型专利</w:t>
            </w:r>
          </w:p>
        </w:tc>
        <w:tc>
          <w:tcPr>
            <w:tcW w:w="2693" w:type="dxa"/>
            <w:tcBorders>
              <w:top w:val="single" w:color="auto" w:sz="8" w:space="0"/>
              <w:left w:val="single" w:color="auto" w:sz="8" w:space="0"/>
              <w:bottom w:val="single" w:color="auto" w:sz="8" w:space="0"/>
              <w:right w:val="single" w:color="auto" w:sz="8" w:space="0"/>
            </w:tcBorders>
            <w:vAlign w:val="center"/>
          </w:tcPr>
          <w:p w14:paraId="36C5391E">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抗性淀粉包埋加工装置</w:t>
            </w:r>
          </w:p>
        </w:tc>
        <w:tc>
          <w:tcPr>
            <w:tcW w:w="1134" w:type="dxa"/>
            <w:tcBorders>
              <w:top w:val="single" w:color="auto" w:sz="8" w:space="0"/>
              <w:left w:val="single" w:color="auto" w:sz="8" w:space="0"/>
              <w:bottom w:val="single" w:color="auto" w:sz="8" w:space="0"/>
              <w:right w:val="single" w:color="auto" w:sz="8" w:space="0"/>
            </w:tcBorders>
            <w:vAlign w:val="center"/>
          </w:tcPr>
          <w:p w14:paraId="60DEC813">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492684B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ZL202222442247.1</w:t>
            </w:r>
          </w:p>
        </w:tc>
        <w:tc>
          <w:tcPr>
            <w:tcW w:w="1417" w:type="dxa"/>
            <w:tcBorders>
              <w:top w:val="single" w:color="auto" w:sz="8" w:space="0"/>
              <w:left w:val="single" w:color="auto" w:sz="8" w:space="0"/>
              <w:bottom w:val="single" w:color="auto" w:sz="8" w:space="0"/>
              <w:right w:val="single" w:color="auto" w:sz="8" w:space="0"/>
            </w:tcBorders>
            <w:vAlign w:val="center"/>
          </w:tcPr>
          <w:p w14:paraId="63EE7AA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2022.12.23</w:t>
            </w:r>
          </w:p>
        </w:tc>
        <w:tc>
          <w:tcPr>
            <w:tcW w:w="1134" w:type="dxa"/>
            <w:tcBorders>
              <w:top w:val="single" w:color="auto" w:sz="8" w:space="0"/>
              <w:left w:val="single" w:color="auto" w:sz="8" w:space="0"/>
              <w:bottom w:val="single" w:color="auto" w:sz="8" w:space="0"/>
              <w:right w:val="single" w:color="auto" w:sz="8" w:space="0"/>
            </w:tcBorders>
            <w:vAlign w:val="center"/>
          </w:tcPr>
          <w:p w14:paraId="0E3428F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18103794</w:t>
            </w:r>
          </w:p>
        </w:tc>
        <w:tc>
          <w:tcPr>
            <w:tcW w:w="1134" w:type="dxa"/>
            <w:tcBorders>
              <w:top w:val="single" w:color="auto" w:sz="8" w:space="0"/>
              <w:left w:val="single" w:color="auto" w:sz="8" w:space="0"/>
              <w:bottom w:val="single" w:color="auto" w:sz="8" w:space="0"/>
              <w:right w:val="single" w:color="auto" w:sz="8" w:space="0"/>
            </w:tcBorders>
            <w:vAlign w:val="center"/>
          </w:tcPr>
          <w:p w14:paraId="0D7497E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陕西师范大学</w:t>
            </w:r>
          </w:p>
        </w:tc>
        <w:tc>
          <w:tcPr>
            <w:tcW w:w="2289" w:type="dxa"/>
            <w:tcBorders>
              <w:top w:val="single" w:color="auto" w:sz="8" w:space="0"/>
              <w:left w:val="single" w:color="auto" w:sz="8" w:space="0"/>
              <w:bottom w:val="single" w:color="auto" w:sz="8" w:space="0"/>
              <w:right w:val="single" w:color="auto" w:sz="8" w:space="0"/>
            </w:tcBorders>
            <w:vAlign w:val="center"/>
          </w:tcPr>
          <w:p w14:paraId="38992A7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马蓁、任娜梅、李小平、胡新中</w:t>
            </w:r>
          </w:p>
        </w:tc>
      </w:tr>
      <w:tr w14:paraId="53FFC3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59825F57">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4</w:t>
            </w:r>
          </w:p>
        </w:tc>
        <w:tc>
          <w:tcPr>
            <w:tcW w:w="1701" w:type="dxa"/>
            <w:tcBorders>
              <w:top w:val="single" w:color="auto" w:sz="8" w:space="0"/>
              <w:left w:val="single" w:color="auto" w:sz="8" w:space="0"/>
              <w:bottom w:val="single" w:color="auto" w:sz="8" w:space="0"/>
              <w:right w:val="single" w:color="auto" w:sz="8" w:space="0"/>
            </w:tcBorders>
            <w:vAlign w:val="center"/>
          </w:tcPr>
          <w:p w14:paraId="6DD0E98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发明专利</w:t>
            </w:r>
          </w:p>
        </w:tc>
        <w:tc>
          <w:tcPr>
            <w:tcW w:w="2693" w:type="dxa"/>
            <w:tcBorders>
              <w:top w:val="single" w:color="auto" w:sz="8" w:space="0"/>
              <w:left w:val="single" w:color="auto" w:sz="8" w:space="0"/>
              <w:bottom w:val="single" w:color="auto" w:sz="8" w:space="0"/>
              <w:right w:val="single" w:color="auto" w:sz="8" w:space="0"/>
            </w:tcBorders>
            <w:vAlign w:val="center"/>
          </w:tcPr>
          <w:p w14:paraId="6712086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一种底卸料式超临界萃取釜及使用方法</w:t>
            </w:r>
          </w:p>
        </w:tc>
        <w:tc>
          <w:tcPr>
            <w:tcW w:w="1134" w:type="dxa"/>
            <w:tcBorders>
              <w:top w:val="single" w:color="auto" w:sz="8" w:space="0"/>
              <w:left w:val="single" w:color="auto" w:sz="8" w:space="0"/>
              <w:bottom w:val="single" w:color="auto" w:sz="8" w:space="0"/>
              <w:right w:val="single" w:color="auto" w:sz="8" w:space="0"/>
            </w:tcBorders>
            <w:vAlign w:val="center"/>
          </w:tcPr>
          <w:p w14:paraId="72F65D6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76A0C7CD">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CN202010307608.4</w:t>
            </w:r>
          </w:p>
        </w:tc>
        <w:tc>
          <w:tcPr>
            <w:tcW w:w="1417" w:type="dxa"/>
            <w:tcBorders>
              <w:top w:val="single" w:color="auto" w:sz="8" w:space="0"/>
              <w:left w:val="single" w:color="auto" w:sz="8" w:space="0"/>
              <w:bottom w:val="single" w:color="auto" w:sz="8" w:space="0"/>
              <w:right w:val="single" w:color="auto" w:sz="8" w:space="0"/>
            </w:tcBorders>
            <w:vAlign w:val="center"/>
          </w:tcPr>
          <w:p w14:paraId="21465CE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2021.10.01</w:t>
            </w:r>
          </w:p>
        </w:tc>
        <w:tc>
          <w:tcPr>
            <w:tcW w:w="1134" w:type="dxa"/>
            <w:tcBorders>
              <w:top w:val="single" w:color="auto" w:sz="8" w:space="0"/>
              <w:left w:val="single" w:color="auto" w:sz="8" w:space="0"/>
              <w:bottom w:val="single" w:color="auto" w:sz="8" w:space="0"/>
              <w:right w:val="single" w:color="auto" w:sz="8" w:space="0"/>
            </w:tcBorders>
            <w:vAlign w:val="center"/>
          </w:tcPr>
          <w:p w14:paraId="585F71F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4714690</w:t>
            </w:r>
          </w:p>
        </w:tc>
        <w:tc>
          <w:tcPr>
            <w:tcW w:w="1134" w:type="dxa"/>
            <w:tcBorders>
              <w:top w:val="single" w:color="auto" w:sz="8" w:space="0"/>
              <w:left w:val="single" w:color="auto" w:sz="8" w:space="0"/>
              <w:bottom w:val="single" w:color="auto" w:sz="8" w:space="0"/>
              <w:right w:val="single" w:color="auto" w:sz="8" w:space="0"/>
            </w:tcBorders>
            <w:vAlign w:val="center"/>
          </w:tcPr>
          <w:p w14:paraId="15E40102">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陕西师范大学</w:t>
            </w:r>
          </w:p>
        </w:tc>
        <w:tc>
          <w:tcPr>
            <w:tcW w:w="2289" w:type="dxa"/>
            <w:tcBorders>
              <w:top w:val="single" w:color="auto" w:sz="8" w:space="0"/>
              <w:left w:val="single" w:color="auto" w:sz="8" w:space="0"/>
              <w:bottom w:val="single" w:color="auto" w:sz="8" w:space="0"/>
              <w:right w:val="single" w:color="auto" w:sz="8" w:space="0"/>
            </w:tcBorders>
            <w:vAlign w:val="center"/>
          </w:tcPr>
          <w:p w14:paraId="7CCEAA7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牛鹏飞、李小平、郭玉蓉</w:t>
            </w:r>
          </w:p>
        </w:tc>
      </w:tr>
      <w:tr w14:paraId="201BAD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2D68800A">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5</w:t>
            </w:r>
          </w:p>
        </w:tc>
        <w:tc>
          <w:tcPr>
            <w:tcW w:w="1701" w:type="dxa"/>
            <w:tcBorders>
              <w:top w:val="single" w:color="auto" w:sz="8" w:space="0"/>
              <w:left w:val="single" w:color="auto" w:sz="8" w:space="0"/>
              <w:bottom w:val="single" w:color="auto" w:sz="8" w:space="0"/>
              <w:right w:val="single" w:color="auto" w:sz="8" w:space="0"/>
            </w:tcBorders>
            <w:vAlign w:val="center"/>
          </w:tcPr>
          <w:p w14:paraId="270EBEB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发明专利</w:t>
            </w:r>
          </w:p>
        </w:tc>
        <w:tc>
          <w:tcPr>
            <w:tcW w:w="2693" w:type="dxa"/>
            <w:tcBorders>
              <w:top w:val="single" w:color="auto" w:sz="8" w:space="0"/>
              <w:left w:val="single" w:color="auto" w:sz="8" w:space="0"/>
              <w:bottom w:val="single" w:color="auto" w:sz="8" w:space="0"/>
              <w:right w:val="single" w:color="auto" w:sz="8" w:space="0"/>
            </w:tcBorders>
            <w:vAlign w:val="center"/>
          </w:tcPr>
          <w:p w14:paraId="31F01BC7">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一种低频电磁场干燥挂面的方法</w:t>
            </w:r>
          </w:p>
        </w:tc>
        <w:tc>
          <w:tcPr>
            <w:tcW w:w="1134" w:type="dxa"/>
            <w:tcBorders>
              <w:top w:val="single" w:color="auto" w:sz="8" w:space="0"/>
              <w:left w:val="single" w:color="auto" w:sz="8" w:space="0"/>
              <w:bottom w:val="single" w:color="auto" w:sz="8" w:space="0"/>
              <w:right w:val="single" w:color="auto" w:sz="8" w:space="0"/>
            </w:tcBorders>
            <w:vAlign w:val="center"/>
          </w:tcPr>
          <w:p w14:paraId="662715D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52B9E54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ZL202111522898.5</w:t>
            </w:r>
          </w:p>
        </w:tc>
        <w:tc>
          <w:tcPr>
            <w:tcW w:w="1417" w:type="dxa"/>
            <w:tcBorders>
              <w:top w:val="single" w:color="auto" w:sz="8" w:space="0"/>
              <w:left w:val="single" w:color="auto" w:sz="8" w:space="0"/>
              <w:bottom w:val="single" w:color="auto" w:sz="8" w:space="0"/>
              <w:right w:val="single" w:color="auto" w:sz="8" w:space="0"/>
            </w:tcBorders>
            <w:vAlign w:val="center"/>
          </w:tcPr>
          <w:p w14:paraId="5B77188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2023.08.01</w:t>
            </w:r>
          </w:p>
        </w:tc>
        <w:tc>
          <w:tcPr>
            <w:tcW w:w="1134" w:type="dxa"/>
            <w:tcBorders>
              <w:top w:val="single" w:color="auto" w:sz="8" w:space="0"/>
              <w:left w:val="single" w:color="auto" w:sz="8" w:space="0"/>
              <w:bottom w:val="single" w:color="auto" w:sz="8" w:space="0"/>
              <w:right w:val="single" w:color="auto" w:sz="8" w:space="0"/>
            </w:tcBorders>
            <w:vAlign w:val="center"/>
          </w:tcPr>
          <w:p w14:paraId="00B69A2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6197518</w:t>
            </w:r>
          </w:p>
        </w:tc>
        <w:tc>
          <w:tcPr>
            <w:tcW w:w="1134" w:type="dxa"/>
            <w:tcBorders>
              <w:top w:val="single" w:color="auto" w:sz="8" w:space="0"/>
              <w:left w:val="single" w:color="auto" w:sz="8" w:space="0"/>
              <w:bottom w:val="single" w:color="auto" w:sz="8" w:space="0"/>
              <w:right w:val="single" w:color="auto" w:sz="8" w:space="0"/>
            </w:tcBorders>
            <w:vAlign w:val="center"/>
          </w:tcPr>
          <w:p w14:paraId="30F5B0D8">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西北农林科技大学、北京金瑞典膳科技有限公司、陕西金沙河面业有限责任公司</w:t>
            </w:r>
          </w:p>
        </w:tc>
        <w:tc>
          <w:tcPr>
            <w:tcW w:w="2289" w:type="dxa"/>
            <w:tcBorders>
              <w:top w:val="single" w:color="auto" w:sz="8" w:space="0"/>
              <w:left w:val="single" w:color="auto" w:sz="8" w:space="0"/>
              <w:bottom w:val="single" w:color="auto" w:sz="8" w:space="0"/>
              <w:right w:val="single" w:color="auto" w:sz="8" w:space="0"/>
            </w:tcBorders>
            <w:vAlign w:val="center"/>
          </w:tcPr>
          <w:p w14:paraId="68D3C7B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江昊、邢亚楠、林倩、吴桂玲、张旭征、肖晓红、刘锐</w:t>
            </w:r>
          </w:p>
        </w:tc>
      </w:tr>
      <w:tr w14:paraId="3BF700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0BA0B6B8">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6</w:t>
            </w:r>
          </w:p>
        </w:tc>
        <w:tc>
          <w:tcPr>
            <w:tcW w:w="1701" w:type="dxa"/>
            <w:tcBorders>
              <w:top w:val="single" w:color="auto" w:sz="8" w:space="0"/>
              <w:left w:val="single" w:color="auto" w:sz="8" w:space="0"/>
              <w:bottom w:val="single" w:color="auto" w:sz="8" w:space="0"/>
              <w:right w:val="single" w:color="auto" w:sz="8" w:space="0"/>
            </w:tcBorders>
            <w:vAlign w:val="center"/>
          </w:tcPr>
          <w:p w14:paraId="2FF65A1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发明专利</w:t>
            </w:r>
          </w:p>
        </w:tc>
        <w:tc>
          <w:tcPr>
            <w:tcW w:w="2693" w:type="dxa"/>
            <w:tcBorders>
              <w:top w:val="single" w:color="auto" w:sz="8" w:space="0"/>
              <w:left w:val="single" w:color="auto" w:sz="8" w:space="0"/>
              <w:bottom w:val="single" w:color="auto" w:sz="8" w:space="0"/>
              <w:right w:val="single" w:color="auto" w:sz="8" w:space="0"/>
            </w:tcBorders>
            <w:vAlign w:val="center"/>
          </w:tcPr>
          <w:p w14:paraId="0FC8E20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一种超声波协同整粒固态酶解调控燕麦片GI值的方法</w:t>
            </w:r>
          </w:p>
        </w:tc>
        <w:tc>
          <w:tcPr>
            <w:tcW w:w="1134" w:type="dxa"/>
            <w:tcBorders>
              <w:top w:val="single" w:color="auto" w:sz="8" w:space="0"/>
              <w:left w:val="single" w:color="auto" w:sz="8" w:space="0"/>
              <w:bottom w:val="single" w:color="auto" w:sz="8" w:space="0"/>
              <w:right w:val="single" w:color="auto" w:sz="8" w:space="0"/>
            </w:tcBorders>
            <w:vAlign w:val="center"/>
          </w:tcPr>
          <w:p w14:paraId="7EFD0F59">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66949F0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ZL202410742570.1</w:t>
            </w:r>
          </w:p>
        </w:tc>
        <w:tc>
          <w:tcPr>
            <w:tcW w:w="1417" w:type="dxa"/>
            <w:tcBorders>
              <w:top w:val="single" w:color="auto" w:sz="8" w:space="0"/>
              <w:left w:val="single" w:color="auto" w:sz="8" w:space="0"/>
              <w:bottom w:val="single" w:color="auto" w:sz="8" w:space="0"/>
              <w:right w:val="single" w:color="auto" w:sz="8" w:space="0"/>
            </w:tcBorders>
            <w:vAlign w:val="center"/>
          </w:tcPr>
          <w:p w14:paraId="3771BCE4">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2024.08.09</w:t>
            </w:r>
          </w:p>
        </w:tc>
        <w:tc>
          <w:tcPr>
            <w:tcW w:w="1134" w:type="dxa"/>
            <w:tcBorders>
              <w:top w:val="single" w:color="auto" w:sz="8" w:space="0"/>
              <w:left w:val="single" w:color="auto" w:sz="8" w:space="0"/>
              <w:bottom w:val="single" w:color="auto" w:sz="8" w:space="0"/>
              <w:right w:val="single" w:color="auto" w:sz="8" w:space="0"/>
            </w:tcBorders>
            <w:vAlign w:val="center"/>
          </w:tcPr>
          <w:p w14:paraId="592855A4">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7273834</w:t>
            </w:r>
          </w:p>
        </w:tc>
        <w:tc>
          <w:tcPr>
            <w:tcW w:w="1134" w:type="dxa"/>
            <w:tcBorders>
              <w:top w:val="single" w:color="auto" w:sz="8" w:space="0"/>
              <w:left w:val="single" w:color="auto" w:sz="8" w:space="0"/>
              <w:bottom w:val="single" w:color="auto" w:sz="8" w:space="0"/>
              <w:right w:val="single" w:color="auto" w:sz="8" w:space="0"/>
            </w:tcBorders>
            <w:vAlign w:val="center"/>
          </w:tcPr>
          <w:p w14:paraId="6D01875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南京西麦大健康科技有限公司</w:t>
            </w:r>
          </w:p>
        </w:tc>
        <w:tc>
          <w:tcPr>
            <w:tcW w:w="2289" w:type="dxa"/>
            <w:tcBorders>
              <w:top w:val="single" w:color="auto" w:sz="8" w:space="0"/>
              <w:left w:val="single" w:color="auto" w:sz="8" w:space="0"/>
              <w:bottom w:val="single" w:color="auto" w:sz="8" w:space="0"/>
              <w:right w:val="single" w:color="auto" w:sz="8" w:space="0"/>
            </w:tcBorders>
            <w:vAlign w:val="center"/>
          </w:tcPr>
          <w:p w14:paraId="5504BE47">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王婷;李璐;司琳媛;甘露;田静</w:t>
            </w:r>
          </w:p>
        </w:tc>
      </w:tr>
      <w:tr w14:paraId="191912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433F265A">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7</w:t>
            </w:r>
          </w:p>
        </w:tc>
        <w:tc>
          <w:tcPr>
            <w:tcW w:w="1701" w:type="dxa"/>
            <w:tcBorders>
              <w:top w:val="single" w:color="auto" w:sz="8" w:space="0"/>
              <w:left w:val="single" w:color="auto" w:sz="8" w:space="0"/>
              <w:bottom w:val="single" w:color="auto" w:sz="8" w:space="0"/>
              <w:right w:val="single" w:color="auto" w:sz="8" w:space="0"/>
            </w:tcBorders>
            <w:vAlign w:val="center"/>
          </w:tcPr>
          <w:p w14:paraId="211FC16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软著</w:t>
            </w:r>
          </w:p>
        </w:tc>
        <w:tc>
          <w:tcPr>
            <w:tcW w:w="2693" w:type="dxa"/>
            <w:tcBorders>
              <w:top w:val="single" w:color="auto" w:sz="8" w:space="0"/>
              <w:left w:val="single" w:color="auto" w:sz="8" w:space="0"/>
              <w:bottom w:val="single" w:color="auto" w:sz="8" w:space="0"/>
              <w:right w:val="single" w:color="auto" w:sz="8" w:space="0"/>
            </w:tcBorders>
            <w:vAlign w:val="center"/>
          </w:tcPr>
          <w:p w14:paraId="053A8218">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挤压组织化食品加工虚拟仿真实验软件V1.0</w:t>
            </w:r>
          </w:p>
        </w:tc>
        <w:tc>
          <w:tcPr>
            <w:tcW w:w="1134" w:type="dxa"/>
            <w:tcBorders>
              <w:top w:val="single" w:color="auto" w:sz="8" w:space="0"/>
              <w:left w:val="single" w:color="auto" w:sz="8" w:space="0"/>
              <w:bottom w:val="single" w:color="auto" w:sz="8" w:space="0"/>
              <w:right w:val="single" w:color="auto" w:sz="8" w:space="0"/>
            </w:tcBorders>
            <w:vAlign w:val="center"/>
          </w:tcPr>
          <w:p w14:paraId="107206E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0035B714">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2022SR0936396</w:t>
            </w:r>
          </w:p>
        </w:tc>
        <w:tc>
          <w:tcPr>
            <w:tcW w:w="1417" w:type="dxa"/>
            <w:tcBorders>
              <w:top w:val="single" w:color="auto" w:sz="8" w:space="0"/>
              <w:left w:val="single" w:color="auto" w:sz="8" w:space="0"/>
              <w:bottom w:val="single" w:color="auto" w:sz="8" w:space="0"/>
              <w:right w:val="single" w:color="auto" w:sz="8" w:space="0"/>
            </w:tcBorders>
            <w:vAlign w:val="center"/>
          </w:tcPr>
          <w:p w14:paraId="2CF44C2D">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2022.05.27</w:t>
            </w:r>
          </w:p>
        </w:tc>
        <w:tc>
          <w:tcPr>
            <w:tcW w:w="1134" w:type="dxa"/>
            <w:tcBorders>
              <w:top w:val="single" w:color="auto" w:sz="8" w:space="0"/>
              <w:left w:val="single" w:color="auto" w:sz="8" w:space="0"/>
              <w:bottom w:val="single" w:color="auto" w:sz="8" w:space="0"/>
              <w:right w:val="single" w:color="auto" w:sz="8" w:space="0"/>
            </w:tcBorders>
            <w:vAlign w:val="center"/>
          </w:tcPr>
          <w:p w14:paraId="44F80B0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9890595</w:t>
            </w:r>
          </w:p>
        </w:tc>
        <w:tc>
          <w:tcPr>
            <w:tcW w:w="1134" w:type="dxa"/>
            <w:tcBorders>
              <w:top w:val="single" w:color="auto" w:sz="8" w:space="0"/>
              <w:left w:val="single" w:color="auto" w:sz="8" w:space="0"/>
              <w:bottom w:val="single" w:color="auto" w:sz="8" w:space="0"/>
              <w:right w:val="single" w:color="auto" w:sz="8" w:space="0"/>
            </w:tcBorders>
            <w:vAlign w:val="center"/>
          </w:tcPr>
          <w:p w14:paraId="7F777FB9">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西北农林科技大学</w:t>
            </w:r>
          </w:p>
        </w:tc>
        <w:tc>
          <w:tcPr>
            <w:tcW w:w="2289" w:type="dxa"/>
            <w:tcBorders>
              <w:top w:val="single" w:color="auto" w:sz="8" w:space="0"/>
              <w:left w:val="single" w:color="auto" w:sz="8" w:space="0"/>
              <w:bottom w:val="single" w:color="auto" w:sz="8" w:space="0"/>
              <w:right w:val="single" w:color="auto" w:sz="8" w:space="0"/>
            </w:tcBorders>
            <w:vAlign w:val="center"/>
          </w:tcPr>
          <w:p w14:paraId="54F9EB4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杜双奎</w:t>
            </w:r>
          </w:p>
        </w:tc>
      </w:tr>
      <w:tr w14:paraId="242BEC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619A4679">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8</w:t>
            </w:r>
          </w:p>
        </w:tc>
        <w:tc>
          <w:tcPr>
            <w:tcW w:w="1701" w:type="dxa"/>
            <w:tcBorders>
              <w:top w:val="single" w:color="auto" w:sz="8" w:space="0"/>
              <w:left w:val="single" w:color="auto" w:sz="8" w:space="0"/>
              <w:bottom w:val="single" w:color="auto" w:sz="8" w:space="0"/>
              <w:right w:val="single" w:color="auto" w:sz="8" w:space="0"/>
            </w:tcBorders>
            <w:vAlign w:val="center"/>
          </w:tcPr>
          <w:p w14:paraId="3CACED8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标准</w:t>
            </w:r>
          </w:p>
        </w:tc>
        <w:tc>
          <w:tcPr>
            <w:tcW w:w="2693" w:type="dxa"/>
            <w:tcBorders>
              <w:top w:val="single" w:color="auto" w:sz="8" w:space="0"/>
              <w:left w:val="single" w:color="auto" w:sz="8" w:space="0"/>
              <w:bottom w:val="single" w:color="auto" w:sz="8" w:space="0"/>
              <w:right w:val="single" w:color="auto" w:sz="8" w:space="0"/>
            </w:tcBorders>
            <w:vAlign w:val="center"/>
          </w:tcPr>
          <w:p w14:paraId="30348F3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燕麦片</w:t>
            </w:r>
          </w:p>
        </w:tc>
        <w:tc>
          <w:tcPr>
            <w:tcW w:w="1134" w:type="dxa"/>
            <w:tcBorders>
              <w:top w:val="single" w:color="auto" w:sz="8" w:space="0"/>
              <w:left w:val="single" w:color="auto" w:sz="8" w:space="0"/>
              <w:bottom w:val="single" w:color="auto" w:sz="8" w:space="0"/>
              <w:right w:val="single" w:color="auto" w:sz="8" w:space="0"/>
            </w:tcBorders>
            <w:vAlign w:val="center"/>
          </w:tcPr>
          <w:p w14:paraId="0EDF657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58E687B0">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T/CCOA 38-2021</w:t>
            </w:r>
          </w:p>
        </w:tc>
        <w:tc>
          <w:tcPr>
            <w:tcW w:w="1417" w:type="dxa"/>
            <w:tcBorders>
              <w:top w:val="single" w:color="auto" w:sz="8" w:space="0"/>
              <w:left w:val="single" w:color="auto" w:sz="8" w:space="0"/>
              <w:bottom w:val="single" w:color="auto" w:sz="8" w:space="0"/>
              <w:right w:val="single" w:color="auto" w:sz="8" w:space="0"/>
            </w:tcBorders>
            <w:vAlign w:val="center"/>
          </w:tcPr>
          <w:p w14:paraId="2339894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2021.05.17</w:t>
            </w:r>
          </w:p>
        </w:tc>
        <w:tc>
          <w:tcPr>
            <w:tcW w:w="1134" w:type="dxa"/>
            <w:tcBorders>
              <w:top w:val="single" w:color="auto" w:sz="8" w:space="0"/>
              <w:left w:val="single" w:color="auto" w:sz="8" w:space="0"/>
              <w:bottom w:val="single" w:color="auto" w:sz="8" w:space="0"/>
              <w:right w:val="single" w:color="auto" w:sz="8" w:space="0"/>
            </w:tcBorders>
            <w:vAlign w:val="center"/>
          </w:tcPr>
          <w:p w14:paraId="78FABD7D">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w:t>
            </w:r>
          </w:p>
        </w:tc>
        <w:tc>
          <w:tcPr>
            <w:tcW w:w="1134" w:type="dxa"/>
            <w:tcBorders>
              <w:top w:val="single" w:color="auto" w:sz="8" w:space="0"/>
              <w:left w:val="single" w:color="auto" w:sz="8" w:space="0"/>
              <w:bottom w:val="single" w:color="auto" w:sz="8" w:space="0"/>
              <w:right w:val="single" w:color="auto" w:sz="8" w:space="0"/>
            </w:tcBorders>
            <w:vAlign w:val="center"/>
          </w:tcPr>
          <w:p w14:paraId="2DC08FD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陕西师范大学、中国农业大学、桂林西麦食品股份有限公司、汕头市金味食品工业 有限公司、内蒙古塞宝燕麦产业有限公司</w:t>
            </w:r>
          </w:p>
        </w:tc>
        <w:tc>
          <w:tcPr>
            <w:tcW w:w="2289" w:type="dxa"/>
            <w:tcBorders>
              <w:top w:val="single" w:color="auto" w:sz="8" w:space="0"/>
              <w:left w:val="single" w:color="auto" w:sz="8" w:space="0"/>
              <w:bottom w:val="single" w:color="auto" w:sz="8" w:space="0"/>
              <w:right w:val="single" w:color="auto" w:sz="8" w:space="0"/>
            </w:tcBorders>
            <w:vAlign w:val="center"/>
          </w:tcPr>
          <w:p w14:paraId="750B2E71">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胡新中、董锐、李再贵、廖丽丽、许凡茜、李璐、李宇</w:t>
            </w:r>
          </w:p>
        </w:tc>
      </w:tr>
      <w:tr w14:paraId="3AF103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2D75A3C2">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9</w:t>
            </w:r>
          </w:p>
        </w:tc>
        <w:tc>
          <w:tcPr>
            <w:tcW w:w="1701" w:type="dxa"/>
            <w:tcBorders>
              <w:top w:val="single" w:color="auto" w:sz="8" w:space="0"/>
              <w:left w:val="single" w:color="auto" w:sz="8" w:space="0"/>
              <w:bottom w:val="single" w:color="auto" w:sz="8" w:space="0"/>
              <w:right w:val="single" w:color="auto" w:sz="8" w:space="0"/>
            </w:tcBorders>
            <w:vAlign w:val="center"/>
          </w:tcPr>
          <w:p w14:paraId="3725AF4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专著</w:t>
            </w:r>
          </w:p>
        </w:tc>
        <w:tc>
          <w:tcPr>
            <w:tcW w:w="2693" w:type="dxa"/>
            <w:tcBorders>
              <w:top w:val="single" w:color="auto" w:sz="8" w:space="0"/>
              <w:left w:val="single" w:color="auto" w:sz="8" w:space="0"/>
              <w:bottom w:val="single" w:color="auto" w:sz="8" w:space="0"/>
              <w:right w:val="single" w:color="auto" w:sz="8" w:space="0"/>
            </w:tcBorders>
            <w:vAlign w:val="center"/>
          </w:tcPr>
          <w:p w14:paraId="1A269F56">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大宗面制品加工理论与实践</w:t>
            </w:r>
          </w:p>
        </w:tc>
        <w:tc>
          <w:tcPr>
            <w:tcW w:w="1134" w:type="dxa"/>
            <w:tcBorders>
              <w:top w:val="single" w:color="auto" w:sz="8" w:space="0"/>
              <w:left w:val="single" w:color="auto" w:sz="8" w:space="0"/>
              <w:bottom w:val="single" w:color="auto" w:sz="8" w:space="0"/>
              <w:right w:val="single" w:color="auto" w:sz="8" w:space="0"/>
            </w:tcBorders>
            <w:vAlign w:val="center"/>
          </w:tcPr>
          <w:p w14:paraId="5C25BD7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6E31F5D7">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978-7-03-067736-5</w:t>
            </w:r>
          </w:p>
        </w:tc>
        <w:tc>
          <w:tcPr>
            <w:tcW w:w="1417" w:type="dxa"/>
            <w:tcBorders>
              <w:top w:val="single" w:color="auto" w:sz="8" w:space="0"/>
              <w:left w:val="single" w:color="auto" w:sz="8" w:space="0"/>
              <w:bottom w:val="single" w:color="auto" w:sz="8" w:space="0"/>
              <w:right w:val="single" w:color="auto" w:sz="8" w:space="0"/>
            </w:tcBorders>
            <w:vAlign w:val="center"/>
          </w:tcPr>
          <w:p w14:paraId="72AFEC3D">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2021.03</w:t>
            </w:r>
          </w:p>
        </w:tc>
        <w:tc>
          <w:tcPr>
            <w:tcW w:w="1134" w:type="dxa"/>
            <w:tcBorders>
              <w:top w:val="single" w:color="auto" w:sz="8" w:space="0"/>
              <w:left w:val="single" w:color="auto" w:sz="8" w:space="0"/>
              <w:bottom w:val="single" w:color="auto" w:sz="8" w:space="0"/>
              <w:right w:val="single" w:color="auto" w:sz="8" w:space="0"/>
            </w:tcBorders>
            <w:vAlign w:val="center"/>
          </w:tcPr>
          <w:p w14:paraId="7D49E78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262254</w:t>
            </w:r>
          </w:p>
        </w:tc>
        <w:tc>
          <w:tcPr>
            <w:tcW w:w="1134" w:type="dxa"/>
            <w:tcBorders>
              <w:top w:val="single" w:color="auto" w:sz="8" w:space="0"/>
              <w:left w:val="single" w:color="auto" w:sz="8" w:space="0"/>
              <w:bottom w:val="single" w:color="auto" w:sz="8" w:space="0"/>
              <w:right w:val="single" w:color="auto" w:sz="8" w:space="0"/>
            </w:tcBorders>
            <w:vAlign w:val="center"/>
          </w:tcPr>
          <w:p w14:paraId="28740FA0">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w:t>
            </w:r>
          </w:p>
        </w:tc>
        <w:tc>
          <w:tcPr>
            <w:tcW w:w="2289" w:type="dxa"/>
            <w:tcBorders>
              <w:top w:val="single" w:color="auto" w:sz="8" w:space="0"/>
              <w:left w:val="single" w:color="auto" w:sz="8" w:space="0"/>
              <w:bottom w:val="single" w:color="auto" w:sz="8" w:space="0"/>
              <w:right w:val="single" w:color="auto" w:sz="8" w:space="0"/>
            </w:tcBorders>
            <w:vAlign w:val="center"/>
          </w:tcPr>
          <w:p w14:paraId="7DFFDC9E">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胡新中、马蓁</w:t>
            </w:r>
          </w:p>
        </w:tc>
      </w:tr>
      <w:tr w14:paraId="520EBE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699" w:type="dxa"/>
            <w:tcBorders>
              <w:top w:val="single" w:color="auto" w:sz="8" w:space="0"/>
              <w:left w:val="single" w:color="auto" w:sz="8" w:space="0"/>
              <w:bottom w:val="single" w:color="auto" w:sz="8" w:space="0"/>
              <w:right w:val="single" w:color="auto" w:sz="8" w:space="0"/>
            </w:tcBorders>
            <w:vAlign w:val="center"/>
          </w:tcPr>
          <w:p w14:paraId="033640F8">
            <w:pPr>
              <w:pStyle w:val="5"/>
              <w:keepNext w:val="0"/>
              <w:keepLines w:val="0"/>
              <w:pageBreakBefore w:val="0"/>
              <w:widowControl w:val="0"/>
              <w:kinsoku/>
              <w:wordWrap/>
              <w:overflowPunct/>
              <w:topLinePunct w:val="0"/>
              <w:autoSpaceDE/>
              <w:autoSpaceDN/>
              <w:bidi w:val="0"/>
              <w:spacing w:after="0" w:line="240" w:lineRule="auto"/>
              <w:ind w:firstLine="0" w:firstLineChars="0"/>
              <w:jc w:val="center"/>
              <w:textAlignment w:val="auto"/>
              <w:rPr>
                <w:rFonts w:ascii="Times New Roman"/>
                <w:sz w:val="18"/>
                <w:szCs w:val="18"/>
              </w:rPr>
            </w:pPr>
            <w:r>
              <w:rPr>
                <w:rFonts w:ascii="Times New Roman"/>
                <w:sz w:val="18"/>
                <w:szCs w:val="18"/>
              </w:rPr>
              <w:t>10</w:t>
            </w:r>
          </w:p>
        </w:tc>
        <w:tc>
          <w:tcPr>
            <w:tcW w:w="1701" w:type="dxa"/>
            <w:tcBorders>
              <w:top w:val="single" w:color="auto" w:sz="8" w:space="0"/>
              <w:left w:val="single" w:color="auto" w:sz="8" w:space="0"/>
              <w:bottom w:val="single" w:color="auto" w:sz="8" w:space="0"/>
              <w:right w:val="single" w:color="auto" w:sz="8" w:space="0"/>
            </w:tcBorders>
            <w:vAlign w:val="center"/>
          </w:tcPr>
          <w:p w14:paraId="36DC69DC">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论文</w:t>
            </w:r>
          </w:p>
        </w:tc>
        <w:tc>
          <w:tcPr>
            <w:tcW w:w="2693" w:type="dxa"/>
            <w:tcBorders>
              <w:top w:val="single" w:color="auto" w:sz="8" w:space="0"/>
              <w:left w:val="single" w:color="auto" w:sz="8" w:space="0"/>
              <w:bottom w:val="single" w:color="auto" w:sz="8" w:space="0"/>
              <w:right w:val="single" w:color="auto" w:sz="8" w:space="0"/>
            </w:tcBorders>
            <w:vAlign w:val="center"/>
          </w:tcPr>
          <w:p w14:paraId="30C063E7">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Structural characteristics and physicochemical properties of field pea starch modified by physical, enzymatic, and acid treatments</w:t>
            </w:r>
          </w:p>
        </w:tc>
        <w:tc>
          <w:tcPr>
            <w:tcW w:w="1134" w:type="dxa"/>
            <w:tcBorders>
              <w:top w:val="single" w:color="auto" w:sz="8" w:space="0"/>
              <w:left w:val="single" w:color="auto" w:sz="8" w:space="0"/>
              <w:bottom w:val="single" w:color="auto" w:sz="8" w:space="0"/>
              <w:right w:val="single" w:color="auto" w:sz="8" w:space="0"/>
            </w:tcBorders>
            <w:vAlign w:val="center"/>
          </w:tcPr>
          <w:p w14:paraId="43A77575">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中国</w:t>
            </w:r>
          </w:p>
        </w:tc>
        <w:tc>
          <w:tcPr>
            <w:tcW w:w="1418" w:type="dxa"/>
            <w:tcBorders>
              <w:top w:val="single" w:color="auto" w:sz="8" w:space="0"/>
              <w:left w:val="single" w:color="auto" w:sz="8" w:space="0"/>
              <w:bottom w:val="single" w:color="auto" w:sz="8" w:space="0"/>
              <w:right w:val="single" w:color="auto" w:sz="8" w:space="0"/>
            </w:tcBorders>
            <w:vAlign w:val="center"/>
          </w:tcPr>
          <w:p w14:paraId="653C2ECE">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2019,93,386-394.</w:t>
            </w:r>
          </w:p>
        </w:tc>
        <w:tc>
          <w:tcPr>
            <w:tcW w:w="1417" w:type="dxa"/>
            <w:tcBorders>
              <w:top w:val="single" w:color="auto" w:sz="8" w:space="0"/>
              <w:left w:val="single" w:color="auto" w:sz="8" w:space="0"/>
              <w:bottom w:val="single" w:color="auto" w:sz="8" w:space="0"/>
              <w:right w:val="single" w:color="auto" w:sz="8" w:space="0"/>
            </w:tcBorders>
            <w:vAlign w:val="center"/>
          </w:tcPr>
          <w:p w14:paraId="76F97FFB">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2019.08</w:t>
            </w:r>
          </w:p>
        </w:tc>
        <w:tc>
          <w:tcPr>
            <w:tcW w:w="1134" w:type="dxa"/>
            <w:tcBorders>
              <w:top w:val="single" w:color="auto" w:sz="8" w:space="0"/>
              <w:left w:val="single" w:color="auto" w:sz="8" w:space="0"/>
              <w:bottom w:val="single" w:color="auto" w:sz="8" w:space="0"/>
              <w:right w:val="single" w:color="auto" w:sz="8" w:space="0"/>
            </w:tcBorders>
            <w:vAlign w:val="center"/>
          </w:tcPr>
          <w:p w14:paraId="3CC0A53A">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Food Hydrocolloids</w:t>
            </w:r>
          </w:p>
        </w:tc>
        <w:tc>
          <w:tcPr>
            <w:tcW w:w="1134" w:type="dxa"/>
            <w:tcBorders>
              <w:top w:val="single" w:color="auto" w:sz="8" w:space="0"/>
              <w:left w:val="single" w:color="auto" w:sz="8" w:space="0"/>
              <w:bottom w:val="single" w:color="auto" w:sz="8" w:space="0"/>
              <w:right w:val="single" w:color="auto" w:sz="8" w:space="0"/>
            </w:tcBorders>
            <w:vAlign w:val="center"/>
          </w:tcPr>
          <w:p w14:paraId="71A7E67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陕西师范大学、加拿大农业食品，食品研究与发展中心</w:t>
            </w:r>
          </w:p>
        </w:tc>
        <w:tc>
          <w:tcPr>
            <w:tcW w:w="2289" w:type="dxa"/>
            <w:tcBorders>
              <w:top w:val="single" w:color="auto" w:sz="8" w:space="0"/>
              <w:left w:val="single" w:color="auto" w:sz="8" w:space="0"/>
              <w:bottom w:val="single" w:color="auto" w:sz="8" w:space="0"/>
              <w:right w:val="single" w:color="auto" w:sz="8" w:space="0"/>
            </w:tcBorders>
            <w:vAlign w:val="center"/>
          </w:tcPr>
          <w:p w14:paraId="4AC8A38F">
            <w:pPr>
              <w:pStyle w:val="5"/>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sz w:val="18"/>
                <w:szCs w:val="18"/>
              </w:rPr>
            </w:pPr>
            <w:r>
              <w:rPr>
                <w:rFonts w:ascii="Times New Roman"/>
                <w:sz w:val="18"/>
                <w:szCs w:val="18"/>
              </w:rPr>
              <w:t>周定婷、马蓁、殷秀秀、胡新中、Boye Joyce I</w:t>
            </w:r>
          </w:p>
        </w:tc>
      </w:tr>
    </w:tbl>
    <w:p w14:paraId="024508E2">
      <w:pPr>
        <w:pStyle w:val="5"/>
        <w:widowControl w:val="0"/>
        <w:numPr>
          <w:ilvl w:val="0"/>
          <w:numId w:val="0"/>
        </w:numPr>
        <w:spacing w:after="160" w:line="360" w:lineRule="auto"/>
        <w:jc w:val="left"/>
        <w:rPr>
          <w:rFonts w:hint="eastAsia" w:ascii="宋体" w:hAnsi="宋体"/>
          <w:b/>
          <w:szCs w:val="32"/>
        </w:rPr>
      </w:pPr>
    </w:p>
    <w:p w14:paraId="5B31968F">
      <w:pPr>
        <w:widowControl/>
        <w:jc w:val="left"/>
        <w:rPr>
          <w:rFonts w:ascii="宋体" w:hAnsi="宋体"/>
          <w:b/>
          <w:color w:val="0D0D0D"/>
          <w:sz w:val="24"/>
          <w:szCs w:val="24"/>
        </w:rPr>
      </w:pPr>
      <w:r>
        <w:rPr>
          <w:rFonts w:ascii="宋体" w:hAnsi="宋体"/>
          <w:b/>
          <w:color w:val="0D0D0D"/>
          <w:szCs w:val="24"/>
        </w:rPr>
        <w:br w:type="page"/>
      </w:r>
    </w:p>
    <w:p w14:paraId="1869D9B9">
      <w:pPr>
        <w:pStyle w:val="5"/>
        <w:ind w:firstLine="0" w:firstLineChars="0"/>
        <w:jc w:val="left"/>
        <w:rPr>
          <w:rFonts w:ascii="宋体" w:hAnsi="宋体"/>
          <w:b/>
          <w:color w:val="0D0D0D"/>
          <w:szCs w:val="24"/>
        </w:rPr>
        <w:sectPr>
          <w:pgSz w:w="16838" w:h="11906" w:orient="landscape"/>
          <w:pgMar w:top="1797" w:right="1440" w:bottom="1797" w:left="1440" w:header="851" w:footer="992" w:gutter="0"/>
          <w:cols w:space="425" w:num="1"/>
          <w:docGrid w:type="linesAndChars" w:linePitch="312" w:charSpace="0"/>
        </w:sectPr>
      </w:pPr>
    </w:p>
    <w:p w14:paraId="0858B1E2">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rPr>
      </w:pPr>
      <w:r>
        <w:rPr>
          <w:rFonts w:hint="eastAsia"/>
          <w:b/>
        </w:rPr>
        <w:t>七、主要完成人情况</w:t>
      </w:r>
    </w:p>
    <w:tbl>
      <w:tblPr>
        <w:tblStyle w:val="10"/>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707"/>
        <w:gridCol w:w="1417"/>
        <w:gridCol w:w="1985"/>
        <w:gridCol w:w="3685"/>
      </w:tblGrid>
      <w:tr w14:paraId="53F7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4DACD86F">
            <w:pPr>
              <w:pStyle w:val="5"/>
              <w:adjustRightInd w:val="0"/>
              <w:snapToGrid w:val="0"/>
              <w:spacing w:after="0"/>
              <w:ind w:firstLine="0" w:firstLineChars="0"/>
              <w:jc w:val="center"/>
              <w:rPr>
                <w:rFonts w:ascii="Times New Roman"/>
                <w:b/>
                <w:sz w:val="18"/>
                <w:szCs w:val="18"/>
              </w:rPr>
            </w:pPr>
            <w:r>
              <w:rPr>
                <w:rFonts w:ascii="Times New Roman"/>
                <w:b/>
                <w:sz w:val="18"/>
                <w:szCs w:val="18"/>
              </w:rPr>
              <w:t>姓名</w:t>
            </w:r>
          </w:p>
        </w:tc>
        <w:tc>
          <w:tcPr>
            <w:tcW w:w="707" w:type="dxa"/>
            <w:vAlign w:val="center"/>
          </w:tcPr>
          <w:p w14:paraId="7AF7F00A">
            <w:pPr>
              <w:pStyle w:val="5"/>
              <w:adjustRightInd w:val="0"/>
              <w:snapToGrid w:val="0"/>
              <w:spacing w:after="0"/>
              <w:ind w:firstLine="0" w:firstLineChars="0"/>
              <w:jc w:val="center"/>
              <w:rPr>
                <w:rFonts w:ascii="Times New Roman"/>
                <w:b/>
                <w:sz w:val="18"/>
                <w:szCs w:val="18"/>
              </w:rPr>
            </w:pPr>
            <w:r>
              <w:rPr>
                <w:rFonts w:ascii="Times New Roman"/>
                <w:b/>
                <w:sz w:val="18"/>
                <w:szCs w:val="18"/>
              </w:rPr>
              <w:t>排名</w:t>
            </w:r>
          </w:p>
        </w:tc>
        <w:tc>
          <w:tcPr>
            <w:tcW w:w="1417" w:type="dxa"/>
            <w:vAlign w:val="center"/>
          </w:tcPr>
          <w:p w14:paraId="14C0A80C">
            <w:pPr>
              <w:pStyle w:val="5"/>
              <w:adjustRightInd w:val="0"/>
              <w:snapToGrid w:val="0"/>
              <w:spacing w:after="0"/>
              <w:ind w:firstLine="0" w:firstLineChars="0"/>
              <w:jc w:val="center"/>
              <w:rPr>
                <w:rFonts w:ascii="Times New Roman"/>
                <w:b/>
                <w:sz w:val="18"/>
                <w:szCs w:val="18"/>
              </w:rPr>
            </w:pPr>
            <w:r>
              <w:rPr>
                <w:rFonts w:ascii="Times New Roman"/>
                <w:b/>
                <w:sz w:val="18"/>
                <w:szCs w:val="18"/>
              </w:rPr>
              <w:t>行政/技术</w:t>
            </w:r>
            <w:r>
              <w:rPr>
                <w:rFonts w:hint="eastAsia" w:ascii="Times New Roman"/>
                <w:b/>
                <w:sz w:val="18"/>
                <w:szCs w:val="18"/>
              </w:rPr>
              <w:t>职称</w:t>
            </w:r>
          </w:p>
        </w:tc>
        <w:tc>
          <w:tcPr>
            <w:tcW w:w="1985" w:type="dxa"/>
            <w:vAlign w:val="center"/>
          </w:tcPr>
          <w:p w14:paraId="3DFB83F0">
            <w:pPr>
              <w:pStyle w:val="5"/>
              <w:adjustRightInd w:val="0"/>
              <w:snapToGrid w:val="0"/>
              <w:spacing w:after="0"/>
              <w:ind w:firstLine="0" w:firstLineChars="0"/>
              <w:jc w:val="center"/>
              <w:rPr>
                <w:rFonts w:ascii="Times New Roman"/>
                <w:b/>
                <w:sz w:val="18"/>
                <w:szCs w:val="18"/>
              </w:rPr>
            </w:pPr>
            <w:r>
              <w:rPr>
                <w:rFonts w:ascii="Times New Roman"/>
                <w:b/>
                <w:sz w:val="18"/>
                <w:szCs w:val="18"/>
              </w:rPr>
              <w:t>工作单位</w:t>
            </w:r>
            <w:r>
              <w:rPr>
                <w:rFonts w:hint="eastAsia" w:ascii="Times New Roman"/>
                <w:b/>
                <w:sz w:val="18"/>
                <w:szCs w:val="18"/>
              </w:rPr>
              <w:t>/</w:t>
            </w:r>
            <w:r>
              <w:rPr>
                <w:rFonts w:ascii="Times New Roman"/>
                <w:b/>
                <w:sz w:val="18"/>
                <w:szCs w:val="18"/>
              </w:rPr>
              <w:t>完成单位</w:t>
            </w:r>
          </w:p>
        </w:tc>
        <w:tc>
          <w:tcPr>
            <w:tcW w:w="3685" w:type="dxa"/>
            <w:vAlign w:val="center"/>
          </w:tcPr>
          <w:p w14:paraId="75017523">
            <w:pPr>
              <w:pStyle w:val="5"/>
              <w:adjustRightInd w:val="0"/>
              <w:snapToGrid w:val="0"/>
              <w:spacing w:after="0"/>
              <w:ind w:firstLine="0" w:firstLineChars="0"/>
              <w:jc w:val="center"/>
              <w:rPr>
                <w:rFonts w:ascii="Times New Roman"/>
                <w:b/>
                <w:sz w:val="18"/>
                <w:szCs w:val="18"/>
              </w:rPr>
            </w:pPr>
            <w:r>
              <w:rPr>
                <w:rFonts w:ascii="Times New Roman"/>
                <w:b/>
                <w:sz w:val="18"/>
                <w:szCs w:val="18"/>
              </w:rPr>
              <w:t>对本项目技术创造性贡献</w:t>
            </w:r>
          </w:p>
        </w:tc>
      </w:tr>
      <w:tr w14:paraId="1CC5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37" w:type="dxa"/>
            <w:vAlign w:val="center"/>
          </w:tcPr>
          <w:p w14:paraId="6017C84F">
            <w:pPr>
              <w:pStyle w:val="5"/>
              <w:adjustRightInd w:val="0"/>
              <w:snapToGrid w:val="0"/>
              <w:spacing w:after="0"/>
              <w:ind w:firstLine="0" w:firstLineChars="0"/>
              <w:jc w:val="center"/>
              <w:rPr>
                <w:rFonts w:ascii="Times New Roman"/>
                <w:sz w:val="18"/>
                <w:szCs w:val="18"/>
              </w:rPr>
            </w:pPr>
            <w:r>
              <w:rPr>
                <w:rFonts w:hint="eastAsia" w:ascii="Times New Roman"/>
                <w:sz w:val="18"/>
                <w:szCs w:val="18"/>
              </w:rPr>
              <w:t>胡新中</w:t>
            </w:r>
          </w:p>
        </w:tc>
        <w:tc>
          <w:tcPr>
            <w:tcW w:w="707" w:type="dxa"/>
            <w:vAlign w:val="center"/>
          </w:tcPr>
          <w:p w14:paraId="0B6C6F18">
            <w:pPr>
              <w:pStyle w:val="5"/>
              <w:adjustRightInd w:val="0"/>
              <w:snapToGrid w:val="0"/>
              <w:spacing w:after="0"/>
              <w:ind w:firstLine="0" w:firstLineChars="0"/>
              <w:jc w:val="center"/>
              <w:rPr>
                <w:rFonts w:ascii="Times New Roman"/>
                <w:sz w:val="18"/>
                <w:szCs w:val="18"/>
              </w:rPr>
            </w:pPr>
            <w:r>
              <w:rPr>
                <w:rFonts w:ascii="Times New Roman"/>
                <w:sz w:val="18"/>
                <w:szCs w:val="18"/>
              </w:rPr>
              <w:t>1</w:t>
            </w:r>
          </w:p>
        </w:tc>
        <w:tc>
          <w:tcPr>
            <w:tcW w:w="1417" w:type="dxa"/>
            <w:vAlign w:val="center"/>
          </w:tcPr>
          <w:p w14:paraId="59EEB0E0">
            <w:pPr>
              <w:pStyle w:val="5"/>
              <w:adjustRightInd w:val="0"/>
              <w:snapToGrid w:val="0"/>
              <w:spacing w:after="0"/>
              <w:ind w:firstLine="0" w:firstLineChars="0"/>
              <w:jc w:val="center"/>
              <w:rPr>
                <w:rFonts w:ascii="Times New Roman"/>
                <w:sz w:val="18"/>
                <w:szCs w:val="18"/>
              </w:rPr>
            </w:pPr>
            <w:r>
              <w:rPr>
                <w:rFonts w:hint="eastAsia" w:ascii="Times New Roman"/>
                <w:sz w:val="18"/>
                <w:szCs w:val="18"/>
              </w:rPr>
              <w:t>教授</w:t>
            </w:r>
          </w:p>
        </w:tc>
        <w:tc>
          <w:tcPr>
            <w:tcW w:w="1985" w:type="dxa"/>
            <w:vAlign w:val="center"/>
          </w:tcPr>
          <w:p w14:paraId="35047451">
            <w:pPr>
              <w:pStyle w:val="5"/>
              <w:adjustRightInd w:val="0"/>
              <w:snapToGrid w:val="0"/>
              <w:spacing w:after="0"/>
              <w:ind w:firstLine="0" w:firstLineChars="0"/>
              <w:jc w:val="center"/>
              <w:rPr>
                <w:rFonts w:ascii="Times New Roman"/>
                <w:sz w:val="18"/>
                <w:szCs w:val="18"/>
              </w:rPr>
            </w:pPr>
            <w:r>
              <w:rPr>
                <w:rFonts w:hint="eastAsia" w:ascii="Times New Roman"/>
                <w:sz w:val="18"/>
                <w:szCs w:val="18"/>
              </w:rPr>
              <w:t>陕西师范大学</w:t>
            </w:r>
          </w:p>
        </w:tc>
        <w:tc>
          <w:tcPr>
            <w:tcW w:w="3685" w:type="dxa"/>
            <w:vAlign w:val="center"/>
          </w:tcPr>
          <w:p w14:paraId="76EB6981">
            <w:pPr>
              <w:adjustRightInd w:val="0"/>
              <w:snapToGrid w:val="0"/>
              <w:spacing w:after="0" w:line="360" w:lineRule="auto"/>
              <w:jc w:val="left"/>
              <w:rPr>
                <w:rFonts w:hint="eastAsia" w:eastAsia="宋体"/>
                <w:sz w:val="18"/>
                <w:szCs w:val="18"/>
                <w:lang w:eastAsia="zh-CN"/>
              </w:rPr>
            </w:pPr>
            <w:r>
              <w:rPr>
                <w:rFonts w:hint="eastAsia"/>
                <w:sz w:val="18"/>
                <w:szCs w:val="18"/>
              </w:rPr>
              <w:t>项目总负责人，对三个创新点均做出创造性贡献</w:t>
            </w:r>
            <w:r>
              <w:rPr>
                <w:rFonts w:hint="eastAsia"/>
                <w:sz w:val="18"/>
                <w:szCs w:val="18"/>
                <w:lang w:eastAsia="zh-CN"/>
              </w:rPr>
              <w:t>。</w:t>
            </w:r>
            <w:r>
              <w:rPr>
                <w:rFonts w:hint="eastAsia"/>
                <w:sz w:val="18"/>
                <w:szCs w:val="18"/>
              </w:rPr>
              <w:t>创新点1：构建“籽粒硬度—面团弹性—产品GI值”杂粮加工理论体系，提出籽粒硬度、面团弹性、糊化度三项品质指标；揭示球蛋白“熔球态”中间体形成机制，阐明淀粉多尺度结构演化规律。（必备附件1.1、其他附件2.6、2.7）创新点2：创制二次挤压-碱处理-老化调控协同工艺；研发燕麦米“轻碾多磨”、两蒸一烘快熟提质技术。（必备附件1.1、1.2）创新点 3：牵头制定多项燕麦、荞面饸饹国家及行业标准；开发纯燕麦面条、荞面饸饹等低GI主食产品。（必备附件2.3、3.3；其它附件2.5）</w:t>
            </w:r>
          </w:p>
        </w:tc>
      </w:tr>
      <w:tr w14:paraId="438B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37" w:type="dxa"/>
            <w:vAlign w:val="center"/>
          </w:tcPr>
          <w:p w14:paraId="2459249A">
            <w:pPr>
              <w:adjustRightInd w:val="0"/>
              <w:snapToGrid w:val="0"/>
              <w:spacing w:after="0" w:line="360" w:lineRule="auto"/>
              <w:jc w:val="center"/>
              <w:rPr>
                <w:rFonts w:hint="eastAsia"/>
                <w:sz w:val="18"/>
                <w:szCs w:val="18"/>
              </w:rPr>
            </w:pPr>
            <w:r>
              <w:rPr>
                <w:rFonts w:hint="eastAsia"/>
                <w:sz w:val="18"/>
                <w:szCs w:val="18"/>
              </w:rPr>
              <w:t>李小平</w:t>
            </w:r>
          </w:p>
        </w:tc>
        <w:tc>
          <w:tcPr>
            <w:tcW w:w="707" w:type="dxa"/>
            <w:shd w:val="clear" w:color="auto" w:fill="auto"/>
            <w:vAlign w:val="center"/>
          </w:tcPr>
          <w:p w14:paraId="321B7113">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2</w:t>
            </w:r>
          </w:p>
        </w:tc>
        <w:tc>
          <w:tcPr>
            <w:tcW w:w="1417" w:type="dxa"/>
            <w:shd w:val="clear" w:color="auto" w:fill="auto"/>
            <w:vAlign w:val="center"/>
          </w:tcPr>
          <w:p w14:paraId="59CDAF94">
            <w:pPr>
              <w:adjustRightInd w:val="0"/>
              <w:snapToGrid w:val="0"/>
              <w:spacing w:after="0" w:line="360" w:lineRule="auto"/>
              <w:jc w:val="center"/>
              <w:rPr>
                <w:rFonts w:hint="eastAsia"/>
                <w:sz w:val="18"/>
                <w:szCs w:val="18"/>
                <w:lang w:val="en-US" w:eastAsia="zh-CN"/>
              </w:rPr>
            </w:pPr>
            <w:r>
              <w:rPr>
                <w:rFonts w:hint="eastAsia"/>
                <w:sz w:val="18"/>
                <w:szCs w:val="18"/>
              </w:rPr>
              <w:t>教授</w:t>
            </w:r>
          </w:p>
        </w:tc>
        <w:tc>
          <w:tcPr>
            <w:tcW w:w="1985" w:type="dxa"/>
            <w:shd w:val="clear" w:color="auto" w:fill="auto"/>
            <w:vAlign w:val="center"/>
          </w:tcPr>
          <w:p w14:paraId="1F7E437D">
            <w:pPr>
              <w:adjustRightInd w:val="0"/>
              <w:snapToGrid w:val="0"/>
              <w:spacing w:after="0" w:line="360" w:lineRule="auto"/>
              <w:jc w:val="center"/>
              <w:rPr>
                <w:rFonts w:hint="eastAsia"/>
                <w:sz w:val="18"/>
                <w:szCs w:val="18"/>
                <w:lang w:val="en-US" w:eastAsia="zh-CN"/>
              </w:rPr>
            </w:pPr>
            <w:r>
              <w:rPr>
                <w:rFonts w:hint="eastAsia"/>
                <w:sz w:val="18"/>
                <w:szCs w:val="18"/>
              </w:rPr>
              <w:t>陕西师范大学</w:t>
            </w:r>
          </w:p>
        </w:tc>
        <w:tc>
          <w:tcPr>
            <w:tcW w:w="3685" w:type="dxa"/>
            <w:shd w:val="clear" w:color="auto" w:fill="auto"/>
            <w:vAlign w:val="center"/>
          </w:tcPr>
          <w:p w14:paraId="7A37DA91">
            <w:pPr>
              <w:adjustRightInd w:val="0"/>
              <w:snapToGrid w:val="0"/>
              <w:spacing w:after="0" w:line="360" w:lineRule="auto"/>
              <w:jc w:val="left"/>
              <w:rPr>
                <w:rFonts w:hint="eastAsia"/>
                <w:sz w:val="18"/>
                <w:szCs w:val="18"/>
                <w:lang w:val="en-US" w:eastAsia="zh-CN"/>
              </w:rPr>
            </w:pPr>
            <w:r>
              <w:rPr>
                <w:rFonts w:hint="eastAsia"/>
                <w:sz w:val="18"/>
                <w:szCs w:val="18"/>
              </w:rPr>
              <w:t>项目核心骨干，对三个创新点做出创造性贡献</w:t>
            </w:r>
            <w:r>
              <w:rPr>
                <w:rFonts w:hint="eastAsia"/>
                <w:sz w:val="18"/>
                <w:szCs w:val="18"/>
                <w:lang w:eastAsia="zh-CN"/>
              </w:rPr>
              <w:t>。</w:t>
            </w:r>
          </w:p>
        </w:tc>
      </w:tr>
      <w:tr w14:paraId="0F76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37" w:type="dxa"/>
            <w:vAlign w:val="center"/>
          </w:tcPr>
          <w:p w14:paraId="37FEA1B8">
            <w:pPr>
              <w:adjustRightInd w:val="0"/>
              <w:snapToGrid w:val="0"/>
              <w:spacing w:after="0" w:line="360" w:lineRule="auto"/>
              <w:jc w:val="center"/>
              <w:rPr>
                <w:rFonts w:hint="eastAsia"/>
                <w:sz w:val="18"/>
                <w:szCs w:val="18"/>
              </w:rPr>
            </w:pPr>
            <w:r>
              <w:rPr>
                <w:rFonts w:hint="eastAsia"/>
                <w:sz w:val="18"/>
                <w:szCs w:val="18"/>
              </w:rPr>
              <w:t>马蓁</w:t>
            </w:r>
          </w:p>
        </w:tc>
        <w:tc>
          <w:tcPr>
            <w:tcW w:w="707" w:type="dxa"/>
            <w:vAlign w:val="center"/>
          </w:tcPr>
          <w:p w14:paraId="6B2BC813">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3</w:t>
            </w:r>
          </w:p>
        </w:tc>
        <w:tc>
          <w:tcPr>
            <w:tcW w:w="1417" w:type="dxa"/>
            <w:shd w:val="clear" w:color="auto" w:fill="auto"/>
            <w:vAlign w:val="center"/>
          </w:tcPr>
          <w:p w14:paraId="76481689">
            <w:pPr>
              <w:adjustRightInd w:val="0"/>
              <w:snapToGrid w:val="0"/>
              <w:spacing w:after="0" w:line="360" w:lineRule="auto"/>
              <w:jc w:val="center"/>
              <w:rPr>
                <w:rFonts w:hint="eastAsia"/>
                <w:sz w:val="18"/>
                <w:szCs w:val="18"/>
                <w:lang w:val="en-US" w:eastAsia="zh-CN"/>
              </w:rPr>
            </w:pPr>
            <w:r>
              <w:rPr>
                <w:rFonts w:hint="eastAsia"/>
                <w:sz w:val="18"/>
                <w:szCs w:val="18"/>
              </w:rPr>
              <w:t>教授</w:t>
            </w:r>
          </w:p>
        </w:tc>
        <w:tc>
          <w:tcPr>
            <w:tcW w:w="1985" w:type="dxa"/>
            <w:shd w:val="clear" w:color="auto" w:fill="auto"/>
            <w:vAlign w:val="center"/>
          </w:tcPr>
          <w:p w14:paraId="1FC9BB2B">
            <w:pPr>
              <w:adjustRightInd w:val="0"/>
              <w:snapToGrid w:val="0"/>
              <w:spacing w:after="0" w:line="360" w:lineRule="auto"/>
              <w:jc w:val="center"/>
              <w:rPr>
                <w:rFonts w:hint="eastAsia"/>
                <w:sz w:val="18"/>
                <w:szCs w:val="18"/>
                <w:lang w:val="en-US" w:eastAsia="zh-CN"/>
              </w:rPr>
            </w:pPr>
            <w:r>
              <w:rPr>
                <w:rFonts w:hint="eastAsia"/>
                <w:sz w:val="18"/>
                <w:szCs w:val="18"/>
              </w:rPr>
              <w:t>陕西师范大学</w:t>
            </w:r>
          </w:p>
        </w:tc>
        <w:tc>
          <w:tcPr>
            <w:tcW w:w="3685" w:type="dxa"/>
            <w:shd w:val="clear" w:color="auto" w:fill="auto"/>
            <w:vAlign w:val="center"/>
          </w:tcPr>
          <w:p w14:paraId="02C40817">
            <w:pPr>
              <w:adjustRightInd w:val="0"/>
              <w:snapToGrid w:val="0"/>
              <w:spacing w:after="0" w:line="360" w:lineRule="auto"/>
              <w:jc w:val="left"/>
              <w:rPr>
                <w:rFonts w:hint="eastAsia"/>
                <w:sz w:val="18"/>
                <w:szCs w:val="18"/>
                <w:lang w:val="en-US" w:eastAsia="zh-CN"/>
              </w:rPr>
            </w:pPr>
            <w:r>
              <w:rPr>
                <w:rFonts w:hint="eastAsia"/>
                <w:sz w:val="18"/>
                <w:szCs w:val="18"/>
              </w:rPr>
              <w:t>项目骨干，对三个创新点做出创造性贡献</w:t>
            </w:r>
            <w:r>
              <w:rPr>
                <w:rFonts w:hint="eastAsia"/>
                <w:sz w:val="18"/>
                <w:szCs w:val="18"/>
                <w:lang w:eastAsia="zh-CN"/>
              </w:rPr>
              <w:t>。</w:t>
            </w:r>
          </w:p>
        </w:tc>
      </w:tr>
      <w:tr w14:paraId="6376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37" w:type="dxa"/>
            <w:shd w:val="clear" w:color="auto" w:fill="auto"/>
            <w:vAlign w:val="center"/>
          </w:tcPr>
          <w:p w14:paraId="075463EF">
            <w:pPr>
              <w:adjustRightInd w:val="0"/>
              <w:snapToGrid w:val="0"/>
              <w:spacing w:after="0" w:line="360" w:lineRule="auto"/>
              <w:jc w:val="center"/>
              <w:rPr>
                <w:rFonts w:hint="eastAsia"/>
                <w:sz w:val="18"/>
                <w:szCs w:val="18"/>
                <w:lang w:val="en-US" w:eastAsia="zh-CN"/>
              </w:rPr>
            </w:pPr>
            <w:r>
              <w:rPr>
                <w:rFonts w:hint="eastAsia"/>
                <w:sz w:val="18"/>
                <w:szCs w:val="18"/>
              </w:rPr>
              <w:t>任田</w:t>
            </w:r>
          </w:p>
        </w:tc>
        <w:tc>
          <w:tcPr>
            <w:tcW w:w="707" w:type="dxa"/>
            <w:shd w:val="clear" w:color="auto" w:fill="auto"/>
            <w:vAlign w:val="center"/>
          </w:tcPr>
          <w:p w14:paraId="68460625">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4</w:t>
            </w:r>
          </w:p>
        </w:tc>
        <w:tc>
          <w:tcPr>
            <w:tcW w:w="1417" w:type="dxa"/>
            <w:shd w:val="clear" w:color="auto" w:fill="auto"/>
            <w:vAlign w:val="center"/>
          </w:tcPr>
          <w:p w14:paraId="2CF44658">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副</w:t>
            </w:r>
            <w:r>
              <w:rPr>
                <w:rFonts w:hint="eastAsia"/>
                <w:sz w:val="18"/>
                <w:szCs w:val="18"/>
              </w:rPr>
              <w:t>教授</w:t>
            </w:r>
          </w:p>
        </w:tc>
        <w:tc>
          <w:tcPr>
            <w:tcW w:w="1985" w:type="dxa"/>
            <w:shd w:val="clear" w:color="auto" w:fill="auto"/>
            <w:vAlign w:val="center"/>
          </w:tcPr>
          <w:p w14:paraId="41153569">
            <w:pPr>
              <w:adjustRightInd w:val="0"/>
              <w:snapToGrid w:val="0"/>
              <w:spacing w:after="0" w:line="360" w:lineRule="auto"/>
              <w:jc w:val="center"/>
              <w:rPr>
                <w:rFonts w:hint="eastAsia"/>
                <w:sz w:val="18"/>
                <w:szCs w:val="18"/>
                <w:lang w:val="en-US" w:eastAsia="zh-CN"/>
              </w:rPr>
            </w:pPr>
            <w:r>
              <w:rPr>
                <w:rFonts w:hint="eastAsia"/>
                <w:sz w:val="18"/>
                <w:szCs w:val="18"/>
              </w:rPr>
              <w:t>陕西师范大学</w:t>
            </w:r>
          </w:p>
        </w:tc>
        <w:tc>
          <w:tcPr>
            <w:tcW w:w="3685" w:type="dxa"/>
            <w:shd w:val="clear" w:color="auto" w:fill="auto"/>
            <w:vAlign w:val="center"/>
          </w:tcPr>
          <w:p w14:paraId="0CB95655">
            <w:pPr>
              <w:adjustRightInd w:val="0"/>
              <w:snapToGrid w:val="0"/>
              <w:spacing w:after="0" w:line="360" w:lineRule="auto"/>
              <w:jc w:val="left"/>
              <w:rPr>
                <w:rFonts w:hint="eastAsia"/>
                <w:sz w:val="18"/>
                <w:szCs w:val="18"/>
                <w:lang w:val="en-US" w:eastAsia="zh-CN"/>
              </w:rPr>
            </w:pPr>
            <w:r>
              <w:rPr>
                <w:rFonts w:hint="eastAsia"/>
                <w:sz w:val="18"/>
                <w:szCs w:val="18"/>
              </w:rPr>
              <w:t>项目骨干，对创新点3做出创造性贡献</w:t>
            </w:r>
            <w:r>
              <w:rPr>
                <w:rFonts w:hint="eastAsia"/>
                <w:sz w:val="18"/>
                <w:szCs w:val="18"/>
                <w:lang w:eastAsia="zh-CN"/>
              </w:rPr>
              <w:t>。</w:t>
            </w:r>
          </w:p>
        </w:tc>
      </w:tr>
      <w:tr w14:paraId="2411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37" w:type="dxa"/>
            <w:shd w:val="clear" w:color="auto" w:fill="auto"/>
            <w:vAlign w:val="center"/>
          </w:tcPr>
          <w:p w14:paraId="2875B526">
            <w:pPr>
              <w:adjustRightInd w:val="0"/>
              <w:snapToGrid w:val="0"/>
              <w:spacing w:after="0" w:line="360" w:lineRule="auto"/>
              <w:jc w:val="center"/>
              <w:rPr>
                <w:rFonts w:hint="eastAsia"/>
                <w:sz w:val="18"/>
                <w:szCs w:val="18"/>
                <w:lang w:val="en-US" w:eastAsia="zh-CN"/>
              </w:rPr>
            </w:pPr>
            <w:r>
              <w:rPr>
                <w:rFonts w:hint="eastAsia"/>
                <w:sz w:val="18"/>
                <w:szCs w:val="18"/>
              </w:rPr>
              <w:t>杜双奎</w:t>
            </w:r>
          </w:p>
        </w:tc>
        <w:tc>
          <w:tcPr>
            <w:tcW w:w="707" w:type="dxa"/>
            <w:shd w:val="clear" w:color="auto" w:fill="auto"/>
            <w:vAlign w:val="center"/>
          </w:tcPr>
          <w:p w14:paraId="5A275B1E">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5</w:t>
            </w:r>
          </w:p>
        </w:tc>
        <w:tc>
          <w:tcPr>
            <w:tcW w:w="1417" w:type="dxa"/>
            <w:shd w:val="clear" w:color="auto" w:fill="auto"/>
            <w:vAlign w:val="center"/>
          </w:tcPr>
          <w:p w14:paraId="4A889D2A">
            <w:pPr>
              <w:adjustRightInd w:val="0"/>
              <w:snapToGrid w:val="0"/>
              <w:spacing w:after="0" w:line="360" w:lineRule="auto"/>
              <w:jc w:val="center"/>
              <w:rPr>
                <w:rFonts w:hint="eastAsia"/>
                <w:sz w:val="18"/>
                <w:szCs w:val="18"/>
                <w:lang w:val="en-US" w:eastAsia="zh-CN"/>
              </w:rPr>
            </w:pPr>
            <w:r>
              <w:rPr>
                <w:rFonts w:hint="eastAsia"/>
                <w:sz w:val="18"/>
                <w:szCs w:val="18"/>
              </w:rPr>
              <w:t>教授</w:t>
            </w:r>
          </w:p>
        </w:tc>
        <w:tc>
          <w:tcPr>
            <w:tcW w:w="1985" w:type="dxa"/>
            <w:shd w:val="clear" w:color="auto" w:fill="auto"/>
            <w:vAlign w:val="center"/>
          </w:tcPr>
          <w:p w14:paraId="5DFD51CC">
            <w:pPr>
              <w:adjustRightInd w:val="0"/>
              <w:snapToGrid w:val="0"/>
              <w:spacing w:after="0" w:line="360" w:lineRule="auto"/>
              <w:jc w:val="center"/>
              <w:rPr>
                <w:rFonts w:hint="eastAsia"/>
                <w:sz w:val="18"/>
                <w:szCs w:val="18"/>
                <w:lang w:val="en-US" w:eastAsia="zh-CN"/>
              </w:rPr>
            </w:pPr>
            <w:r>
              <w:rPr>
                <w:rFonts w:hint="eastAsia"/>
                <w:sz w:val="18"/>
                <w:szCs w:val="18"/>
              </w:rPr>
              <w:t>西北农林科技大学</w:t>
            </w:r>
          </w:p>
        </w:tc>
        <w:tc>
          <w:tcPr>
            <w:tcW w:w="3685" w:type="dxa"/>
            <w:shd w:val="clear" w:color="auto" w:fill="auto"/>
            <w:vAlign w:val="center"/>
          </w:tcPr>
          <w:p w14:paraId="6A7EBBD6">
            <w:pPr>
              <w:adjustRightInd w:val="0"/>
              <w:snapToGrid w:val="0"/>
              <w:spacing w:after="0" w:line="360" w:lineRule="auto"/>
              <w:jc w:val="left"/>
              <w:rPr>
                <w:rFonts w:hint="eastAsia"/>
                <w:sz w:val="18"/>
                <w:szCs w:val="18"/>
                <w:lang w:val="en-US" w:eastAsia="zh-CN"/>
              </w:rPr>
            </w:pPr>
            <w:r>
              <w:rPr>
                <w:rFonts w:hint="eastAsia"/>
                <w:sz w:val="18"/>
                <w:szCs w:val="18"/>
              </w:rPr>
              <w:t>项目骨干，对创新点1做出创造性贡献。</w:t>
            </w:r>
          </w:p>
        </w:tc>
      </w:tr>
      <w:tr w14:paraId="3526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59B7EF9A">
            <w:pPr>
              <w:adjustRightInd w:val="0"/>
              <w:snapToGrid w:val="0"/>
              <w:spacing w:after="0" w:line="360" w:lineRule="auto"/>
              <w:jc w:val="center"/>
              <w:rPr>
                <w:rFonts w:hint="eastAsia"/>
                <w:sz w:val="18"/>
                <w:szCs w:val="18"/>
              </w:rPr>
            </w:pPr>
            <w:r>
              <w:rPr>
                <w:rFonts w:hint="eastAsia"/>
                <w:sz w:val="18"/>
                <w:szCs w:val="18"/>
              </w:rPr>
              <w:t>董锐</w:t>
            </w:r>
          </w:p>
        </w:tc>
        <w:tc>
          <w:tcPr>
            <w:tcW w:w="707" w:type="dxa"/>
            <w:vAlign w:val="center"/>
          </w:tcPr>
          <w:p w14:paraId="006FBC38">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6</w:t>
            </w:r>
          </w:p>
        </w:tc>
        <w:tc>
          <w:tcPr>
            <w:tcW w:w="1417" w:type="dxa"/>
            <w:vAlign w:val="center"/>
          </w:tcPr>
          <w:p w14:paraId="59945894">
            <w:pPr>
              <w:adjustRightInd w:val="0"/>
              <w:snapToGrid w:val="0"/>
              <w:spacing w:after="0" w:line="360" w:lineRule="auto"/>
              <w:jc w:val="center"/>
              <w:rPr>
                <w:rFonts w:hint="default"/>
                <w:sz w:val="18"/>
                <w:szCs w:val="18"/>
                <w:lang w:val="en-US" w:eastAsia="zh-CN"/>
              </w:rPr>
            </w:pPr>
            <w:r>
              <w:rPr>
                <w:rFonts w:hint="eastAsia"/>
                <w:sz w:val="18"/>
                <w:szCs w:val="18"/>
                <w:lang w:val="en-US" w:eastAsia="zh-CN"/>
              </w:rPr>
              <w:t>讲师</w:t>
            </w:r>
          </w:p>
        </w:tc>
        <w:tc>
          <w:tcPr>
            <w:tcW w:w="1985" w:type="dxa"/>
            <w:vAlign w:val="center"/>
          </w:tcPr>
          <w:p w14:paraId="2B17145D">
            <w:pPr>
              <w:adjustRightInd w:val="0"/>
              <w:snapToGrid w:val="0"/>
              <w:spacing w:after="0" w:line="360" w:lineRule="auto"/>
              <w:jc w:val="center"/>
              <w:rPr>
                <w:rFonts w:hint="eastAsia"/>
                <w:sz w:val="18"/>
                <w:szCs w:val="18"/>
              </w:rPr>
            </w:pPr>
            <w:r>
              <w:rPr>
                <w:rFonts w:hint="eastAsia"/>
                <w:sz w:val="18"/>
                <w:szCs w:val="18"/>
              </w:rPr>
              <w:t>陕西学前师范学院</w:t>
            </w:r>
          </w:p>
        </w:tc>
        <w:tc>
          <w:tcPr>
            <w:tcW w:w="3685" w:type="dxa"/>
            <w:vAlign w:val="center"/>
          </w:tcPr>
          <w:p w14:paraId="2F74F69F">
            <w:pPr>
              <w:adjustRightInd w:val="0"/>
              <w:snapToGrid w:val="0"/>
              <w:spacing w:after="0" w:line="360" w:lineRule="auto"/>
              <w:jc w:val="left"/>
              <w:rPr>
                <w:rFonts w:hint="eastAsia"/>
                <w:sz w:val="18"/>
                <w:szCs w:val="18"/>
              </w:rPr>
            </w:pPr>
            <w:r>
              <w:rPr>
                <w:rFonts w:hint="eastAsia"/>
                <w:sz w:val="18"/>
                <w:szCs w:val="18"/>
              </w:rPr>
              <w:t>项目骨干，对创新点3做出创造性贡献。</w:t>
            </w:r>
          </w:p>
        </w:tc>
      </w:tr>
      <w:tr w14:paraId="49F2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0FBA6312">
            <w:pPr>
              <w:adjustRightInd w:val="0"/>
              <w:snapToGrid w:val="0"/>
              <w:spacing w:after="0" w:line="360" w:lineRule="auto"/>
              <w:jc w:val="center"/>
              <w:rPr>
                <w:rFonts w:hint="eastAsia"/>
                <w:sz w:val="18"/>
                <w:szCs w:val="18"/>
              </w:rPr>
            </w:pPr>
            <w:r>
              <w:rPr>
                <w:rFonts w:hint="eastAsia"/>
                <w:sz w:val="18"/>
                <w:szCs w:val="18"/>
              </w:rPr>
              <w:t>王晓龙</w:t>
            </w:r>
          </w:p>
        </w:tc>
        <w:tc>
          <w:tcPr>
            <w:tcW w:w="707" w:type="dxa"/>
            <w:vAlign w:val="center"/>
          </w:tcPr>
          <w:p w14:paraId="7C775179">
            <w:pPr>
              <w:adjustRightInd w:val="0"/>
              <w:snapToGrid w:val="0"/>
              <w:spacing w:after="0" w:line="360" w:lineRule="auto"/>
              <w:jc w:val="center"/>
              <w:rPr>
                <w:rFonts w:hint="eastAsia"/>
                <w:sz w:val="18"/>
                <w:szCs w:val="18"/>
                <w:lang w:eastAsia="zh-CN"/>
              </w:rPr>
            </w:pPr>
            <w:r>
              <w:rPr>
                <w:rFonts w:hint="eastAsia"/>
                <w:sz w:val="18"/>
                <w:szCs w:val="18"/>
                <w:lang w:val="en-US" w:eastAsia="zh-CN"/>
              </w:rPr>
              <w:t>7</w:t>
            </w:r>
          </w:p>
        </w:tc>
        <w:tc>
          <w:tcPr>
            <w:tcW w:w="1417" w:type="dxa"/>
            <w:vAlign w:val="center"/>
          </w:tcPr>
          <w:p w14:paraId="087D880B">
            <w:pPr>
              <w:adjustRightInd w:val="0"/>
              <w:snapToGrid w:val="0"/>
              <w:spacing w:after="0" w:line="360" w:lineRule="auto"/>
              <w:jc w:val="center"/>
              <w:rPr>
                <w:rFonts w:hint="eastAsia"/>
                <w:sz w:val="18"/>
                <w:szCs w:val="18"/>
              </w:rPr>
            </w:pPr>
            <w:r>
              <w:rPr>
                <w:rFonts w:hint="eastAsia"/>
                <w:sz w:val="18"/>
                <w:szCs w:val="18"/>
                <w:lang w:val="en-US" w:eastAsia="zh-CN"/>
              </w:rPr>
              <w:t>副</w:t>
            </w:r>
            <w:r>
              <w:rPr>
                <w:rFonts w:hint="eastAsia"/>
                <w:sz w:val="18"/>
                <w:szCs w:val="18"/>
              </w:rPr>
              <w:t>教授</w:t>
            </w:r>
          </w:p>
        </w:tc>
        <w:tc>
          <w:tcPr>
            <w:tcW w:w="1985" w:type="dxa"/>
            <w:vAlign w:val="center"/>
          </w:tcPr>
          <w:p w14:paraId="52D8D5DA">
            <w:pPr>
              <w:adjustRightInd w:val="0"/>
              <w:snapToGrid w:val="0"/>
              <w:spacing w:after="0" w:line="360" w:lineRule="auto"/>
              <w:jc w:val="center"/>
              <w:rPr>
                <w:rFonts w:hint="eastAsia"/>
                <w:sz w:val="18"/>
                <w:szCs w:val="18"/>
              </w:rPr>
            </w:pPr>
            <w:r>
              <w:rPr>
                <w:rFonts w:hint="eastAsia"/>
                <w:sz w:val="18"/>
                <w:szCs w:val="18"/>
              </w:rPr>
              <w:t>陕西师范大学</w:t>
            </w:r>
          </w:p>
        </w:tc>
        <w:tc>
          <w:tcPr>
            <w:tcW w:w="3685" w:type="dxa"/>
            <w:vAlign w:val="center"/>
          </w:tcPr>
          <w:p w14:paraId="6390ED73">
            <w:pPr>
              <w:adjustRightInd w:val="0"/>
              <w:snapToGrid w:val="0"/>
              <w:spacing w:after="0" w:line="360" w:lineRule="auto"/>
              <w:jc w:val="left"/>
              <w:rPr>
                <w:rFonts w:hint="eastAsia"/>
                <w:sz w:val="18"/>
                <w:szCs w:val="18"/>
              </w:rPr>
            </w:pPr>
            <w:r>
              <w:rPr>
                <w:rFonts w:hint="eastAsia"/>
                <w:sz w:val="18"/>
                <w:szCs w:val="18"/>
              </w:rPr>
              <w:t>项目骨干，对创新点2做出创造性贡献。</w:t>
            </w:r>
          </w:p>
        </w:tc>
      </w:tr>
      <w:tr w14:paraId="3BAC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6F5FC21D">
            <w:pPr>
              <w:adjustRightInd w:val="0"/>
              <w:snapToGrid w:val="0"/>
              <w:spacing w:after="0" w:line="360" w:lineRule="auto"/>
              <w:jc w:val="center"/>
              <w:rPr>
                <w:rFonts w:hint="eastAsia"/>
                <w:sz w:val="18"/>
                <w:szCs w:val="18"/>
              </w:rPr>
            </w:pPr>
            <w:r>
              <w:rPr>
                <w:rFonts w:hint="eastAsia"/>
                <w:sz w:val="18"/>
                <w:szCs w:val="18"/>
              </w:rPr>
              <w:t>刘锐</w:t>
            </w:r>
          </w:p>
        </w:tc>
        <w:tc>
          <w:tcPr>
            <w:tcW w:w="707" w:type="dxa"/>
            <w:vAlign w:val="center"/>
          </w:tcPr>
          <w:p w14:paraId="47A6C5DA">
            <w:pPr>
              <w:adjustRightInd w:val="0"/>
              <w:snapToGrid w:val="0"/>
              <w:spacing w:after="0" w:line="360" w:lineRule="auto"/>
              <w:jc w:val="center"/>
              <w:rPr>
                <w:rFonts w:hint="eastAsia"/>
                <w:sz w:val="18"/>
                <w:szCs w:val="18"/>
                <w:lang w:eastAsia="zh-CN"/>
              </w:rPr>
            </w:pPr>
            <w:r>
              <w:rPr>
                <w:rFonts w:hint="eastAsia"/>
                <w:sz w:val="18"/>
                <w:szCs w:val="18"/>
                <w:lang w:val="en-US" w:eastAsia="zh-CN"/>
              </w:rPr>
              <w:t>8</w:t>
            </w:r>
          </w:p>
        </w:tc>
        <w:tc>
          <w:tcPr>
            <w:tcW w:w="1417" w:type="dxa"/>
            <w:vAlign w:val="center"/>
          </w:tcPr>
          <w:p w14:paraId="640104A6">
            <w:pPr>
              <w:adjustRightInd w:val="0"/>
              <w:snapToGrid w:val="0"/>
              <w:spacing w:after="0" w:line="360" w:lineRule="auto"/>
              <w:jc w:val="center"/>
              <w:rPr>
                <w:rFonts w:hint="eastAsia"/>
                <w:sz w:val="18"/>
                <w:szCs w:val="18"/>
              </w:rPr>
            </w:pPr>
            <w:r>
              <w:rPr>
                <w:rFonts w:hint="eastAsia"/>
                <w:sz w:val="18"/>
                <w:szCs w:val="18"/>
              </w:rPr>
              <w:t>研发总监</w:t>
            </w:r>
            <w:r>
              <w:rPr>
                <w:rFonts w:hint="eastAsia"/>
                <w:sz w:val="18"/>
                <w:szCs w:val="18"/>
                <w:lang w:val="en-US" w:eastAsia="zh-CN"/>
              </w:rPr>
              <w:t>/</w:t>
            </w:r>
            <w:r>
              <w:rPr>
                <w:rFonts w:hint="eastAsia"/>
                <w:sz w:val="18"/>
                <w:szCs w:val="18"/>
              </w:rPr>
              <w:t>副研究员</w:t>
            </w:r>
          </w:p>
        </w:tc>
        <w:tc>
          <w:tcPr>
            <w:tcW w:w="1985" w:type="dxa"/>
            <w:vAlign w:val="center"/>
          </w:tcPr>
          <w:p w14:paraId="161C46F3">
            <w:pPr>
              <w:adjustRightInd w:val="0"/>
              <w:snapToGrid w:val="0"/>
              <w:spacing w:after="0" w:line="360" w:lineRule="auto"/>
              <w:jc w:val="center"/>
              <w:rPr>
                <w:rFonts w:hint="eastAsia"/>
                <w:sz w:val="18"/>
                <w:szCs w:val="18"/>
              </w:rPr>
            </w:pPr>
            <w:r>
              <w:rPr>
                <w:rFonts w:hint="eastAsia"/>
                <w:sz w:val="18"/>
                <w:szCs w:val="18"/>
              </w:rPr>
              <w:t>陕西金沙河面业有限责任公司</w:t>
            </w:r>
          </w:p>
        </w:tc>
        <w:tc>
          <w:tcPr>
            <w:tcW w:w="3685" w:type="dxa"/>
            <w:vAlign w:val="center"/>
          </w:tcPr>
          <w:p w14:paraId="07CE9675">
            <w:pPr>
              <w:adjustRightInd w:val="0"/>
              <w:snapToGrid w:val="0"/>
              <w:spacing w:after="0" w:line="360" w:lineRule="auto"/>
              <w:jc w:val="left"/>
              <w:rPr>
                <w:rFonts w:hint="eastAsia"/>
                <w:sz w:val="18"/>
                <w:szCs w:val="18"/>
              </w:rPr>
            </w:pPr>
            <w:r>
              <w:rPr>
                <w:rFonts w:hint="eastAsia"/>
                <w:sz w:val="18"/>
                <w:szCs w:val="18"/>
              </w:rPr>
              <w:t>项目骨干，对创新点2做出创造性贡献。</w:t>
            </w:r>
          </w:p>
        </w:tc>
      </w:tr>
      <w:tr w14:paraId="4835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63B5D820">
            <w:pPr>
              <w:adjustRightInd w:val="0"/>
              <w:snapToGrid w:val="0"/>
              <w:spacing w:after="0" w:line="360" w:lineRule="auto"/>
              <w:jc w:val="center"/>
              <w:rPr>
                <w:rFonts w:hint="eastAsia"/>
                <w:sz w:val="18"/>
                <w:szCs w:val="18"/>
              </w:rPr>
            </w:pPr>
            <w:r>
              <w:rPr>
                <w:rFonts w:hint="eastAsia"/>
                <w:sz w:val="18"/>
                <w:szCs w:val="18"/>
              </w:rPr>
              <w:t>邢亚楠</w:t>
            </w:r>
          </w:p>
        </w:tc>
        <w:tc>
          <w:tcPr>
            <w:tcW w:w="707" w:type="dxa"/>
            <w:vAlign w:val="center"/>
          </w:tcPr>
          <w:p w14:paraId="523140D4">
            <w:pPr>
              <w:adjustRightInd w:val="0"/>
              <w:snapToGrid w:val="0"/>
              <w:spacing w:after="0" w:line="360" w:lineRule="auto"/>
              <w:jc w:val="center"/>
              <w:rPr>
                <w:rFonts w:hint="eastAsia"/>
                <w:sz w:val="18"/>
                <w:szCs w:val="18"/>
                <w:lang w:val="en-US" w:eastAsia="zh-CN"/>
              </w:rPr>
            </w:pPr>
            <w:r>
              <w:rPr>
                <w:rFonts w:hint="eastAsia"/>
                <w:sz w:val="18"/>
                <w:szCs w:val="18"/>
                <w:lang w:val="en-US" w:eastAsia="zh-CN"/>
              </w:rPr>
              <w:t>9</w:t>
            </w:r>
          </w:p>
        </w:tc>
        <w:tc>
          <w:tcPr>
            <w:tcW w:w="1417" w:type="dxa"/>
            <w:vAlign w:val="center"/>
          </w:tcPr>
          <w:p w14:paraId="4690F2DC">
            <w:pPr>
              <w:adjustRightInd w:val="0"/>
              <w:snapToGrid w:val="0"/>
              <w:spacing w:after="0" w:line="360" w:lineRule="auto"/>
              <w:jc w:val="center"/>
              <w:rPr>
                <w:rFonts w:hint="eastAsia"/>
                <w:sz w:val="18"/>
                <w:szCs w:val="18"/>
              </w:rPr>
            </w:pPr>
            <w:r>
              <w:rPr>
                <w:rFonts w:hint="eastAsia"/>
                <w:sz w:val="18"/>
                <w:szCs w:val="18"/>
              </w:rPr>
              <w:t>工程师</w:t>
            </w:r>
          </w:p>
        </w:tc>
        <w:tc>
          <w:tcPr>
            <w:tcW w:w="1985" w:type="dxa"/>
            <w:shd w:val="clear" w:color="auto" w:fill="auto"/>
            <w:vAlign w:val="center"/>
          </w:tcPr>
          <w:p w14:paraId="41C1C6B3">
            <w:pPr>
              <w:adjustRightInd w:val="0"/>
              <w:snapToGrid w:val="0"/>
              <w:spacing w:after="0" w:line="360" w:lineRule="auto"/>
              <w:jc w:val="center"/>
              <w:rPr>
                <w:rFonts w:hint="eastAsia"/>
                <w:sz w:val="18"/>
                <w:szCs w:val="18"/>
                <w:lang w:val="en-US" w:eastAsia="zh-CN"/>
              </w:rPr>
            </w:pPr>
            <w:r>
              <w:rPr>
                <w:rFonts w:hint="eastAsia"/>
                <w:sz w:val="18"/>
                <w:szCs w:val="18"/>
              </w:rPr>
              <w:t>陕西金沙河面业有限责任公司</w:t>
            </w:r>
          </w:p>
        </w:tc>
        <w:tc>
          <w:tcPr>
            <w:tcW w:w="3685" w:type="dxa"/>
            <w:shd w:val="clear" w:color="auto" w:fill="auto"/>
            <w:vAlign w:val="center"/>
          </w:tcPr>
          <w:p w14:paraId="41F0A6A1">
            <w:pPr>
              <w:adjustRightInd w:val="0"/>
              <w:snapToGrid w:val="0"/>
              <w:spacing w:after="0" w:line="360" w:lineRule="auto"/>
              <w:jc w:val="left"/>
              <w:rPr>
                <w:rFonts w:hint="eastAsia"/>
                <w:sz w:val="18"/>
                <w:szCs w:val="18"/>
                <w:lang w:val="en-US" w:eastAsia="zh-CN"/>
              </w:rPr>
            </w:pPr>
            <w:r>
              <w:rPr>
                <w:rFonts w:hint="eastAsia"/>
                <w:sz w:val="18"/>
                <w:szCs w:val="18"/>
              </w:rPr>
              <w:t>项目骨干，对创新点2做出创造性贡献。</w:t>
            </w:r>
          </w:p>
        </w:tc>
      </w:tr>
      <w:tr w14:paraId="5EA3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0174D258">
            <w:pPr>
              <w:adjustRightInd w:val="0"/>
              <w:snapToGrid w:val="0"/>
              <w:spacing w:after="0" w:line="360" w:lineRule="auto"/>
              <w:jc w:val="center"/>
              <w:rPr>
                <w:rFonts w:hint="eastAsia"/>
                <w:sz w:val="18"/>
                <w:szCs w:val="18"/>
              </w:rPr>
            </w:pPr>
            <w:r>
              <w:rPr>
                <w:rFonts w:hint="eastAsia"/>
                <w:sz w:val="18"/>
                <w:szCs w:val="18"/>
              </w:rPr>
              <w:t>罗小彪</w:t>
            </w:r>
          </w:p>
        </w:tc>
        <w:tc>
          <w:tcPr>
            <w:tcW w:w="707" w:type="dxa"/>
            <w:vAlign w:val="center"/>
          </w:tcPr>
          <w:p w14:paraId="79B639A8">
            <w:pPr>
              <w:adjustRightInd w:val="0"/>
              <w:snapToGrid w:val="0"/>
              <w:spacing w:after="0" w:line="360" w:lineRule="auto"/>
              <w:jc w:val="center"/>
              <w:rPr>
                <w:rFonts w:hint="default"/>
                <w:sz w:val="18"/>
                <w:szCs w:val="18"/>
                <w:lang w:val="en-US" w:eastAsia="zh-CN"/>
              </w:rPr>
            </w:pPr>
            <w:r>
              <w:rPr>
                <w:rFonts w:hint="eastAsia"/>
                <w:sz w:val="18"/>
                <w:szCs w:val="18"/>
                <w:lang w:val="en-US" w:eastAsia="zh-CN"/>
              </w:rPr>
              <w:t>10</w:t>
            </w:r>
          </w:p>
        </w:tc>
        <w:tc>
          <w:tcPr>
            <w:tcW w:w="1417" w:type="dxa"/>
            <w:vAlign w:val="center"/>
          </w:tcPr>
          <w:p w14:paraId="5ECECB01">
            <w:pPr>
              <w:adjustRightInd w:val="0"/>
              <w:snapToGrid w:val="0"/>
              <w:spacing w:after="0" w:line="360" w:lineRule="auto"/>
              <w:jc w:val="center"/>
              <w:rPr>
                <w:rFonts w:hint="default"/>
                <w:sz w:val="18"/>
                <w:szCs w:val="18"/>
                <w:lang w:val="en-US" w:eastAsia="zh-CN"/>
              </w:rPr>
            </w:pPr>
            <w:r>
              <w:rPr>
                <w:rFonts w:hint="eastAsia"/>
                <w:sz w:val="18"/>
                <w:szCs w:val="18"/>
                <w:lang w:val="en-US" w:eastAsia="zh-CN"/>
              </w:rPr>
              <w:t>总经理</w:t>
            </w:r>
          </w:p>
        </w:tc>
        <w:tc>
          <w:tcPr>
            <w:tcW w:w="1985" w:type="dxa"/>
            <w:vAlign w:val="center"/>
          </w:tcPr>
          <w:p w14:paraId="3E4EDD2D">
            <w:pPr>
              <w:adjustRightInd w:val="0"/>
              <w:snapToGrid w:val="0"/>
              <w:spacing w:after="0" w:line="360" w:lineRule="auto"/>
              <w:jc w:val="center"/>
              <w:rPr>
                <w:rFonts w:hint="eastAsia"/>
                <w:sz w:val="18"/>
                <w:szCs w:val="18"/>
              </w:rPr>
            </w:pPr>
            <w:r>
              <w:rPr>
                <w:rFonts w:hint="eastAsia"/>
                <w:sz w:val="18"/>
                <w:szCs w:val="18"/>
              </w:rPr>
              <w:t>淳化县丝路兴淳农业发展科技有限公司</w:t>
            </w:r>
          </w:p>
        </w:tc>
        <w:tc>
          <w:tcPr>
            <w:tcW w:w="3685" w:type="dxa"/>
            <w:vAlign w:val="center"/>
          </w:tcPr>
          <w:p w14:paraId="0FBD3252">
            <w:pPr>
              <w:adjustRightInd w:val="0"/>
              <w:snapToGrid w:val="0"/>
              <w:spacing w:after="0" w:line="360" w:lineRule="auto"/>
              <w:jc w:val="left"/>
              <w:rPr>
                <w:rFonts w:hint="eastAsia"/>
                <w:sz w:val="18"/>
                <w:szCs w:val="18"/>
              </w:rPr>
            </w:pPr>
            <w:r>
              <w:rPr>
                <w:rFonts w:hint="eastAsia"/>
                <w:sz w:val="18"/>
                <w:szCs w:val="18"/>
              </w:rPr>
              <w:t>项目骨干，对创新点3做出创造性贡献。</w:t>
            </w:r>
          </w:p>
        </w:tc>
      </w:tr>
      <w:tr w14:paraId="22A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37" w:type="dxa"/>
            <w:vAlign w:val="center"/>
          </w:tcPr>
          <w:p w14:paraId="50F1BD70">
            <w:pPr>
              <w:adjustRightInd w:val="0"/>
              <w:snapToGrid w:val="0"/>
              <w:spacing w:after="0" w:line="360" w:lineRule="auto"/>
              <w:jc w:val="center"/>
              <w:rPr>
                <w:rFonts w:hint="eastAsia"/>
                <w:sz w:val="18"/>
                <w:szCs w:val="18"/>
              </w:rPr>
            </w:pPr>
            <w:r>
              <w:rPr>
                <w:rFonts w:hint="eastAsia"/>
                <w:sz w:val="18"/>
                <w:szCs w:val="18"/>
              </w:rPr>
              <w:t>李璐</w:t>
            </w:r>
          </w:p>
        </w:tc>
        <w:tc>
          <w:tcPr>
            <w:tcW w:w="707" w:type="dxa"/>
            <w:vAlign w:val="center"/>
          </w:tcPr>
          <w:p w14:paraId="64FD550A">
            <w:pPr>
              <w:adjustRightInd w:val="0"/>
              <w:snapToGrid w:val="0"/>
              <w:spacing w:after="0" w:line="360" w:lineRule="auto"/>
              <w:jc w:val="center"/>
              <w:rPr>
                <w:rFonts w:hint="default"/>
                <w:sz w:val="18"/>
                <w:szCs w:val="18"/>
                <w:lang w:val="en-US" w:eastAsia="zh-CN"/>
              </w:rPr>
            </w:pPr>
            <w:r>
              <w:rPr>
                <w:rFonts w:hint="eastAsia"/>
                <w:sz w:val="18"/>
                <w:szCs w:val="18"/>
                <w:lang w:val="en-US" w:eastAsia="zh-CN"/>
              </w:rPr>
              <w:t>11</w:t>
            </w:r>
          </w:p>
        </w:tc>
        <w:tc>
          <w:tcPr>
            <w:tcW w:w="1417" w:type="dxa"/>
            <w:vAlign w:val="center"/>
          </w:tcPr>
          <w:p w14:paraId="65B45B4A">
            <w:pPr>
              <w:adjustRightInd w:val="0"/>
              <w:snapToGrid w:val="0"/>
              <w:spacing w:after="0" w:line="360" w:lineRule="auto"/>
              <w:jc w:val="center"/>
              <w:rPr>
                <w:rFonts w:hint="eastAsia"/>
                <w:sz w:val="18"/>
                <w:szCs w:val="18"/>
              </w:rPr>
            </w:pPr>
            <w:r>
              <w:rPr>
                <w:rFonts w:hint="eastAsia"/>
                <w:sz w:val="18"/>
                <w:szCs w:val="18"/>
              </w:rPr>
              <w:t>研发总监</w:t>
            </w:r>
            <w:r>
              <w:rPr>
                <w:rFonts w:hint="eastAsia"/>
                <w:sz w:val="18"/>
                <w:szCs w:val="18"/>
                <w:lang w:val="en-US" w:eastAsia="zh-CN"/>
              </w:rPr>
              <w:t>/</w:t>
            </w:r>
            <w:r>
              <w:rPr>
                <w:rFonts w:hint="eastAsia"/>
                <w:sz w:val="18"/>
                <w:szCs w:val="18"/>
              </w:rPr>
              <w:t>副高级工程师</w:t>
            </w:r>
          </w:p>
        </w:tc>
        <w:tc>
          <w:tcPr>
            <w:tcW w:w="1985" w:type="dxa"/>
            <w:vAlign w:val="center"/>
          </w:tcPr>
          <w:p w14:paraId="531F0CFC">
            <w:pPr>
              <w:adjustRightInd w:val="0"/>
              <w:snapToGrid w:val="0"/>
              <w:spacing w:after="0" w:line="360" w:lineRule="auto"/>
              <w:jc w:val="center"/>
              <w:rPr>
                <w:rFonts w:hint="eastAsia"/>
                <w:sz w:val="18"/>
                <w:szCs w:val="18"/>
              </w:rPr>
            </w:pPr>
            <w:r>
              <w:rPr>
                <w:rFonts w:hint="eastAsia"/>
                <w:sz w:val="18"/>
                <w:szCs w:val="18"/>
              </w:rPr>
              <w:t>南京西麦大健康科技有限公司</w:t>
            </w:r>
          </w:p>
        </w:tc>
        <w:tc>
          <w:tcPr>
            <w:tcW w:w="3685" w:type="dxa"/>
            <w:vAlign w:val="center"/>
          </w:tcPr>
          <w:p w14:paraId="0A0CA831">
            <w:pPr>
              <w:adjustRightInd w:val="0"/>
              <w:snapToGrid w:val="0"/>
              <w:spacing w:after="0" w:line="360" w:lineRule="auto"/>
              <w:jc w:val="left"/>
              <w:rPr>
                <w:rFonts w:hint="eastAsia"/>
                <w:sz w:val="18"/>
                <w:szCs w:val="18"/>
              </w:rPr>
            </w:pPr>
            <w:r>
              <w:rPr>
                <w:rFonts w:hint="eastAsia"/>
                <w:sz w:val="18"/>
                <w:szCs w:val="18"/>
              </w:rPr>
              <w:t>项目骨干，对创新点3做出创造性贡献。</w:t>
            </w:r>
          </w:p>
        </w:tc>
      </w:tr>
    </w:tbl>
    <w:p w14:paraId="365B6C0C">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rPr>
      </w:pPr>
      <w:r>
        <w:rPr>
          <w:rFonts w:hint="eastAsia"/>
          <w:b/>
        </w:rPr>
        <w:t>八、主要完成单位情况及创新推广贡献</w:t>
      </w:r>
    </w:p>
    <w:tbl>
      <w:tblPr>
        <w:tblStyle w:val="10"/>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1276"/>
        <w:gridCol w:w="5528"/>
      </w:tblGrid>
      <w:tr w14:paraId="02DF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6C4CD1B6">
            <w:pPr>
              <w:pStyle w:val="5"/>
              <w:adjustRightInd w:val="0"/>
              <w:snapToGrid w:val="0"/>
              <w:spacing w:after="0"/>
              <w:ind w:firstLine="0" w:firstLineChars="0"/>
              <w:jc w:val="center"/>
              <w:rPr>
                <w:rFonts w:ascii="Times New Roman"/>
                <w:b/>
                <w:sz w:val="18"/>
                <w:szCs w:val="18"/>
              </w:rPr>
            </w:pPr>
            <w:r>
              <w:rPr>
                <w:rFonts w:hint="eastAsia" w:ascii="Times New Roman"/>
                <w:b/>
                <w:sz w:val="18"/>
                <w:szCs w:val="18"/>
              </w:rPr>
              <w:t>单位名称</w:t>
            </w:r>
          </w:p>
        </w:tc>
        <w:tc>
          <w:tcPr>
            <w:tcW w:w="1276" w:type="dxa"/>
            <w:vAlign w:val="center"/>
          </w:tcPr>
          <w:p w14:paraId="5A162CA6">
            <w:pPr>
              <w:pStyle w:val="5"/>
              <w:adjustRightInd w:val="0"/>
              <w:snapToGrid w:val="0"/>
              <w:spacing w:after="0"/>
              <w:ind w:firstLine="0" w:firstLineChars="0"/>
              <w:jc w:val="center"/>
              <w:rPr>
                <w:rFonts w:ascii="Times New Roman"/>
                <w:b/>
                <w:sz w:val="18"/>
                <w:szCs w:val="18"/>
              </w:rPr>
            </w:pPr>
            <w:r>
              <w:rPr>
                <w:rFonts w:hint="eastAsia" w:ascii="Times New Roman"/>
                <w:b/>
                <w:sz w:val="18"/>
                <w:szCs w:val="18"/>
              </w:rPr>
              <w:t>排名</w:t>
            </w:r>
          </w:p>
        </w:tc>
        <w:tc>
          <w:tcPr>
            <w:tcW w:w="5528" w:type="dxa"/>
            <w:vAlign w:val="center"/>
          </w:tcPr>
          <w:p w14:paraId="1FBBCE20">
            <w:pPr>
              <w:pStyle w:val="5"/>
              <w:adjustRightInd w:val="0"/>
              <w:snapToGrid w:val="0"/>
              <w:spacing w:after="0"/>
              <w:ind w:firstLine="0" w:firstLineChars="0"/>
              <w:jc w:val="center"/>
              <w:rPr>
                <w:rFonts w:ascii="Times New Roman"/>
                <w:b/>
                <w:sz w:val="18"/>
                <w:szCs w:val="18"/>
              </w:rPr>
            </w:pPr>
            <w:r>
              <w:rPr>
                <w:rFonts w:hint="eastAsia" w:ascii="Times New Roman"/>
                <w:b/>
                <w:sz w:val="18"/>
                <w:szCs w:val="18"/>
              </w:rPr>
              <w:t>主要贡献</w:t>
            </w:r>
          </w:p>
        </w:tc>
      </w:tr>
      <w:tr w14:paraId="4D52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4C4F3DF0">
            <w:pPr>
              <w:adjustRightInd w:val="0"/>
              <w:snapToGrid w:val="0"/>
              <w:spacing w:after="0" w:line="360" w:lineRule="auto"/>
              <w:jc w:val="center"/>
              <w:rPr>
                <w:rFonts w:hint="eastAsia"/>
                <w:sz w:val="18"/>
                <w:szCs w:val="18"/>
              </w:rPr>
            </w:pPr>
            <w:r>
              <w:rPr>
                <w:rFonts w:hint="eastAsia"/>
                <w:sz w:val="18"/>
                <w:szCs w:val="18"/>
              </w:rPr>
              <w:t>陕西师范大学</w:t>
            </w:r>
          </w:p>
        </w:tc>
        <w:tc>
          <w:tcPr>
            <w:tcW w:w="1276" w:type="dxa"/>
            <w:vAlign w:val="center"/>
          </w:tcPr>
          <w:p w14:paraId="1707F337">
            <w:pPr>
              <w:adjustRightInd w:val="0"/>
              <w:snapToGrid w:val="0"/>
              <w:spacing w:after="0" w:line="360" w:lineRule="auto"/>
              <w:jc w:val="center"/>
              <w:rPr>
                <w:rFonts w:hint="eastAsia"/>
                <w:sz w:val="18"/>
                <w:szCs w:val="18"/>
              </w:rPr>
            </w:pPr>
            <w:r>
              <w:rPr>
                <w:rFonts w:hint="eastAsia"/>
                <w:sz w:val="18"/>
                <w:szCs w:val="18"/>
              </w:rPr>
              <w:t>1</w:t>
            </w:r>
          </w:p>
        </w:tc>
        <w:tc>
          <w:tcPr>
            <w:tcW w:w="5528" w:type="dxa"/>
            <w:vAlign w:val="center"/>
          </w:tcPr>
          <w:p w14:paraId="270A32FD">
            <w:pPr>
              <w:adjustRightInd w:val="0"/>
              <w:snapToGrid w:val="0"/>
              <w:spacing w:after="0" w:line="360" w:lineRule="auto"/>
              <w:jc w:val="left"/>
              <w:rPr>
                <w:rFonts w:hint="eastAsia"/>
                <w:sz w:val="18"/>
                <w:szCs w:val="18"/>
              </w:rPr>
            </w:pPr>
            <w:r>
              <w:rPr>
                <w:rFonts w:hint="eastAsia"/>
                <w:sz w:val="18"/>
                <w:szCs w:val="18"/>
              </w:rPr>
              <w:t>作为项目主持单位，陕西师范大学为项目的顺利完成并取得优异成绩，在项目科技创新和推广应用等方面做了以下几方面工作：</w:t>
            </w:r>
            <w:r>
              <w:rPr>
                <w:rFonts w:hint="eastAsia"/>
                <w:sz w:val="18"/>
                <w:szCs w:val="18"/>
                <w:lang w:eastAsia="zh-CN"/>
              </w:rPr>
              <w:t>（</w:t>
            </w:r>
            <w:r>
              <w:rPr>
                <w:rFonts w:hint="eastAsia"/>
                <w:sz w:val="18"/>
                <w:szCs w:val="18"/>
                <w:lang w:val="en-US" w:eastAsia="zh-CN"/>
              </w:rPr>
              <w:t>1</w:t>
            </w:r>
            <w:r>
              <w:rPr>
                <w:rFonts w:hint="eastAsia"/>
                <w:sz w:val="18"/>
                <w:szCs w:val="18"/>
                <w:lang w:eastAsia="zh-CN"/>
              </w:rPr>
              <w:t>）</w:t>
            </w:r>
            <w:r>
              <w:rPr>
                <w:rFonts w:hint="eastAsia"/>
                <w:sz w:val="18"/>
                <w:szCs w:val="18"/>
              </w:rPr>
              <w:t>组织协调国家自然科学基金“小扁豆中抗性淀粉的抗热性机理研究，31501405”，国家燕麦荞麦产业技术体系“燕麦加工岗位专家，CARS-07-E-1”，陕西省科技统筹创新工程计划项目“小杂粮中主要功能成分活性保持及新产品创制关键技术研究，2018TSCXL-NY-03-02”“三麦新型加工关键技术研究及系列面制品开发与示范（2015KTZDNY01-07）”“谷物食品科学与营养创新团队2020TD-049”等项目，各参加单位密切合作、联合攻关，组建了杂粮研究团队，切实开展了杂粮食品产业化加工核心关键技术创新和推广应用工作，促进了科研成果推广和转化。(2)对项目研究工作进行全方位支持，为本单位所有项目参加人员提供了必要的办公条件、试验场所、图书资料和设备支持，保证课题顺利实施；(3)加强经费使用管理的监督，确保科研经费发挥最大作用，对项目日常工作进行监督；(4)食品工程与营养科学学院拥有国家燕麦荞麦产业技术体系加工研究室、谷物科学国际联合研究中心等科研平台，以及大型仪器测试共享平台，为项目提供了其它必要的后勤服务与保障。</w:t>
            </w:r>
          </w:p>
        </w:tc>
      </w:tr>
      <w:tr w14:paraId="72A7F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7EC00FB7">
            <w:pPr>
              <w:adjustRightInd w:val="0"/>
              <w:snapToGrid w:val="0"/>
              <w:spacing w:after="0" w:line="360" w:lineRule="auto"/>
              <w:jc w:val="center"/>
              <w:rPr>
                <w:rFonts w:ascii="Times New Roman"/>
                <w:sz w:val="18"/>
                <w:szCs w:val="18"/>
              </w:rPr>
            </w:pPr>
            <w:r>
              <w:rPr>
                <w:rFonts w:hint="eastAsia"/>
                <w:sz w:val="18"/>
                <w:szCs w:val="18"/>
              </w:rPr>
              <w:t>西北农林科技大学</w:t>
            </w:r>
          </w:p>
        </w:tc>
        <w:tc>
          <w:tcPr>
            <w:tcW w:w="1276" w:type="dxa"/>
            <w:vAlign w:val="center"/>
          </w:tcPr>
          <w:p w14:paraId="2927DF16">
            <w:pPr>
              <w:adjustRightInd w:val="0"/>
              <w:snapToGrid w:val="0"/>
              <w:spacing w:after="0" w:line="360" w:lineRule="auto"/>
              <w:jc w:val="center"/>
              <w:rPr>
                <w:rFonts w:hint="eastAsia"/>
                <w:sz w:val="18"/>
                <w:szCs w:val="18"/>
              </w:rPr>
            </w:pPr>
            <w:r>
              <w:rPr>
                <w:rFonts w:hint="eastAsia"/>
                <w:sz w:val="18"/>
                <w:szCs w:val="18"/>
              </w:rPr>
              <w:t>2</w:t>
            </w:r>
          </w:p>
        </w:tc>
        <w:tc>
          <w:tcPr>
            <w:tcW w:w="5528" w:type="dxa"/>
            <w:vAlign w:val="center"/>
          </w:tcPr>
          <w:p w14:paraId="79A60F5A">
            <w:pPr>
              <w:adjustRightInd w:val="0"/>
              <w:snapToGrid w:val="0"/>
              <w:spacing w:after="0" w:line="360" w:lineRule="auto"/>
              <w:jc w:val="left"/>
              <w:rPr>
                <w:rFonts w:hint="eastAsia"/>
                <w:sz w:val="18"/>
                <w:szCs w:val="18"/>
              </w:rPr>
            </w:pPr>
            <w:r>
              <w:rPr>
                <w:rFonts w:hint="eastAsia"/>
                <w:sz w:val="18"/>
                <w:szCs w:val="18"/>
              </w:rPr>
              <w:t>作为项目完成单位，西北农林科技大学为项目顺利完成做出了重要贡献，主要表现为：(1)组织协调农业部燕麦现代产业体系建设岗位科学家，燕麦加工与综合利用（nycytx-14），2008-2010，燕麦加工岗位；农业部燕麦荞麦现代产业体系建设岗位科学家，燕麦加工与综合利用（CARS-07-E-1），2011-2017，各参加单位密切合作、联合攻关，组建了杂粮研究团队，切实开展了杂粮食品产业化加工核心关键技术创新和推广应用工作。（2）提供了课题研究过程中所需的大型仪器设备支持；（3）为项目研究成果的中试和应用，提供了必要的服务与保障。</w:t>
            </w:r>
          </w:p>
        </w:tc>
      </w:tr>
      <w:tr w14:paraId="2500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2FD63A70">
            <w:pPr>
              <w:adjustRightInd w:val="0"/>
              <w:snapToGrid w:val="0"/>
              <w:spacing w:after="0" w:line="360" w:lineRule="auto"/>
              <w:jc w:val="center"/>
              <w:rPr>
                <w:rFonts w:ascii="Times New Roman"/>
                <w:sz w:val="18"/>
                <w:szCs w:val="18"/>
              </w:rPr>
            </w:pPr>
            <w:r>
              <w:rPr>
                <w:rFonts w:hint="eastAsia"/>
                <w:sz w:val="18"/>
                <w:szCs w:val="18"/>
              </w:rPr>
              <w:t>陕西学前师范学院</w:t>
            </w:r>
          </w:p>
        </w:tc>
        <w:tc>
          <w:tcPr>
            <w:tcW w:w="1276" w:type="dxa"/>
            <w:vAlign w:val="center"/>
          </w:tcPr>
          <w:p w14:paraId="488CAAA3">
            <w:pPr>
              <w:pStyle w:val="5"/>
              <w:adjustRightInd w:val="0"/>
              <w:snapToGrid w:val="0"/>
              <w:spacing w:after="0"/>
              <w:ind w:firstLine="0" w:firstLineChars="0"/>
              <w:jc w:val="center"/>
              <w:rPr>
                <w:rFonts w:ascii="Times New Roman"/>
                <w:sz w:val="18"/>
                <w:szCs w:val="18"/>
              </w:rPr>
            </w:pPr>
            <w:r>
              <w:rPr>
                <w:rFonts w:ascii="Times New Roman"/>
                <w:sz w:val="18"/>
                <w:szCs w:val="18"/>
              </w:rPr>
              <w:t>3</w:t>
            </w:r>
          </w:p>
        </w:tc>
        <w:tc>
          <w:tcPr>
            <w:tcW w:w="5528" w:type="dxa"/>
            <w:vAlign w:val="center"/>
          </w:tcPr>
          <w:p w14:paraId="0E206D55">
            <w:pPr>
              <w:adjustRightInd w:val="0"/>
              <w:snapToGrid w:val="0"/>
              <w:spacing w:after="0" w:line="360" w:lineRule="auto"/>
              <w:jc w:val="left"/>
              <w:rPr>
                <w:rFonts w:ascii="Times New Roman"/>
                <w:sz w:val="18"/>
                <w:szCs w:val="18"/>
              </w:rPr>
            </w:pPr>
            <w:r>
              <w:rPr>
                <w:rFonts w:hint="eastAsia"/>
                <w:sz w:val="18"/>
                <w:szCs w:val="18"/>
              </w:rPr>
              <w:t>陕西学前师范学院参与制定《燕麦片》《燕麦麸》团体标准，开展燕麦麸营养功能评价与荞面饸饹品质提升技术攻关，推动了杂粮加工标准化与产业化应用。</w:t>
            </w:r>
          </w:p>
        </w:tc>
      </w:tr>
      <w:tr w14:paraId="5664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5C2BFFBB">
            <w:pPr>
              <w:adjustRightInd w:val="0"/>
              <w:snapToGrid w:val="0"/>
              <w:spacing w:after="0" w:line="360" w:lineRule="auto"/>
              <w:jc w:val="left"/>
              <w:rPr>
                <w:rFonts w:ascii="Times New Roman"/>
                <w:sz w:val="18"/>
                <w:szCs w:val="18"/>
              </w:rPr>
            </w:pPr>
            <w:r>
              <w:rPr>
                <w:rFonts w:hint="eastAsia"/>
                <w:sz w:val="18"/>
                <w:szCs w:val="18"/>
              </w:rPr>
              <w:t>陕西金沙河面业有限责任公司</w:t>
            </w:r>
          </w:p>
        </w:tc>
        <w:tc>
          <w:tcPr>
            <w:tcW w:w="1276" w:type="dxa"/>
            <w:vAlign w:val="center"/>
          </w:tcPr>
          <w:p w14:paraId="1EFE8B9E">
            <w:pPr>
              <w:pStyle w:val="5"/>
              <w:adjustRightInd w:val="0"/>
              <w:snapToGrid w:val="0"/>
              <w:spacing w:after="0"/>
              <w:ind w:firstLine="0" w:firstLineChars="0"/>
              <w:jc w:val="center"/>
              <w:rPr>
                <w:rFonts w:ascii="Times New Roman"/>
                <w:sz w:val="18"/>
                <w:szCs w:val="18"/>
              </w:rPr>
            </w:pPr>
            <w:r>
              <w:rPr>
                <w:rFonts w:ascii="Times New Roman"/>
                <w:sz w:val="18"/>
                <w:szCs w:val="18"/>
              </w:rPr>
              <w:t>4</w:t>
            </w:r>
          </w:p>
        </w:tc>
        <w:tc>
          <w:tcPr>
            <w:tcW w:w="5528" w:type="dxa"/>
            <w:vAlign w:val="center"/>
          </w:tcPr>
          <w:p w14:paraId="53AAB943">
            <w:pPr>
              <w:adjustRightInd w:val="0"/>
              <w:snapToGrid w:val="0"/>
              <w:spacing w:after="0" w:line="360" w:lineRule="auto"/>
              <w:jc w:val="left"/>
              <w:rPr>
                <w:rFonts w:ascii="Times New Roman"/>
                <w:sz w:val="18"/>
                <w:szCs w:val="18"/>
              </w:rPr>
            </w:pPr>
            <w:r>
              <w:rPr>
                <w:rFonts w:hint="eastAsia"/>
                <w:sz w:val="18"/>
                <w:szCs w:val="18"/>
              </w:rPr>
              <w:t>陕西金沙河面业有限公司位于陕西省咸阳市武功县，是国家农业产业化龙头企业。针对荞麦挂面易断条、荞麦添加量低、挂面生产能耗高、煮面品质差等产业共性难题，公司联合陕西师范大学、西北农林科技大学等高校，应用项目研发的甜荞与苦荞搭配预处理技术等核心工艺参数成果，开发出荞麦挂面、杂粮挂面、低GI挂面等多款产品。相关技术显著降低了挂面车间烘干段的能耗，提高了杂粮挂面的出品率，为企业带来了显著的经济效益。</w:t>
            </w:r>
          </w:p>
        </w:tc>
      </w:tr>
      <w:tr w14:paraId="4E1A2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6F81742D">
            <w:pPr>
              <w:adjustRightInd w:val="0"/>
              <w:snapToGrid w:val="0"/>
              <w:spacing w:after="0" w:line="360" w:lineRule="auto"/>
              <w:jc w:val="left"/>
              <w:rPr>
                <w:rFonts w:hint="eastAsia"/>
                <w:sz w:val="18"/>
                <w:szCs w:val="18"/>
              </w:rPr>
            </w:pPr>
            <w:r>
              <w:rPr>
                <w:rFonts w:hint="eastAsia"/>
                <w:sz w:val="18"/>
                <w:szCs w:val="18"/>
              </w:rPr>
              <w:t>淳化县丝路兴淳农业发展科技有限公司</w:t>
            </w:r>
          </w:p>
        </w:tc>
        <w:tc>
          <w:tcPr>
            <w:tcW w:w="1276" w:type="dxa"/>
            <w:vAlign w:val="center"/>
          </w:tcPr>
          <w:p w14:paraId="39A5A11B">
            <w:pPr>
              <w:pStyle w:val="5"/>
              <w:adjustRightInd w:val="0"/>
              <w:snapToGrid w:val="0"/>
              <w:spacing w:after="0"/>
              <w:ind w:firstLine="0" w:firstLineChars="0"/>
              <w:jc w:val="center"/>
              <w:rPr>
                <w:rFonts w:hint="eastAsia" w:ascii="Times New Roman" w:eastAsia="宋体"/>
                <w:sz w:val="18"/>
                <w:szCs w:val="18"/>
                <w:lang w:val="en-US" w:eastAsia="zh-CN"/>
              </w:rPr>
            </w:pPr>
            <w:r>
              <w:rPr>
                <w:rFonts w:hint="eastAsia" w:ascii="Times New Roman"/>
                <w:sz w:val="18"/>
                <w:szCs w:val="18"/>
                <w:lang w:val="en-US" w:eastAsia="zh-CN"/>
              </w:rPr>
              <w:t>5</w:t>
            </w:r>
          </w:p>
        </w:tc>
        <w:tc>
          <w:tcPr>
            <w:tcW w:w="5528" w:type="dxa"/>
            <w:vAlign w:val="center"/>
          </w:tcPr>
          <w:p w14:paraId="0DE8AFBD">
            <w:pPr>
              <w:adjustRightInd w:val="0"/>
              <w:snapToGrid w:val="0"/>
              <w:spacing w:after="0" w:line="360" w:lineRule="auto"/>
              <w:jc w:val="left"/>
              <w:rPr>
                <w:rFonts w:ascii="Times New Roman"/>
                <w:sz w:val="18"/>
                <w:szCs w:val="18"/>
              </w:rPr>
            </w:pPr>
            <w:r>
              <w:rPr>
                <w:rFonts w:hint="eastAsia"/>
                <w:sz w:val="18"/>
                <w:szCs w:val="18"/>
              </w:rPr>
              <w:t>淳化县丝路兴淳农业发展科技有限公司是一家以淳化荞面饸饹产业化发展为核心任务的现代农业科技企业。公司在技术创新、非遗传承和品牌建设等方面成效显著，持续推动地方特色产业高质量发展。针对荞面饸饹在常温保鲜、抗断条性能及荞麦添加比例等方面的关键技术瓶颈，公司联合陕西师范大学科研团队，系统引入并应用了甜荞与苦荞科学搭配及预处理技术、二次挤压协同碱处理技术、变温变湿干燥技术、荞麦半干面常温保鲜技术，构建起完善的荞面饸饹质量控制体系。该体系有效改善了产品口感与理化品质，显著提升了营养价值，同时进一步扩大了陕西淳化荞面饸饹的品牌知名度和市场美誉度，为传统美食的标准化、工业化生产提供了有力支撑。</w:t>
            </w:r>
          </w:p>
        </w:tc>
      </w:tr>
      <w:tr w14:paraId="142A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27" w:type="dxa"/>
            <w:vAlign w:val="center"/>
          </w:tcPr>
          <w:p w14:paraId="52D41F25">
            <w:pPr>
              <w:adjustRightInd w:val="0"/>
              <w:snapToGrid w:val="0"/>
              <w:spacing w:after="0" w:line="360" w:lineRule="auto"/>
              <w:jc w:val="left"/>
              <w:rPr>
                <w:rFonts w:hint="eastAsia"/>
                <w:sz w:val="18"/>
                <w:szCs w:val="18"/>
              </w:rPr>
            </w:pPr>
            <w:r>
              <w:rPr>
                <w:rFonts w:hint="eastAsia"/>
                <w:sz w:val="18"/>
                <w:szCs w:val="18"/>
              </w:rPr>
              <w:t>南京西麦大健康科技有限公司</w:t>
            </w:r>
          </w:p>
        </w:tc>
        <w:tc>
          <w:tcPr>
            <w:tcW w:w="1276" w:type="dxa"/>
            <w:vAlign w:val="center"/>
          </w:tcPr>
          <w:p w14:paraId="0508B9D6">
            <w:pPr>
              <w:pStyle w:val="5"/>
              <w:adjustRightInd w:val="0"/>
              <w:snapToGrid w:val="0"/>
              <w:spacing w:after="0"/>
              <w:ind w:firstLine="0" w:firstLineChars="0"/>
              <w:jc w:val="center"/>
              <w:rPr>
                <w:rFonts w:hint="default" w:ascii="Times New Roman"/>
                <w:sz w:val="18"/>
                <w:szCs w:val="18"/>
                <w:lang w:val="en-US" w:eastAsia="zh-CN"/>
              </w:rPr>
            </w:pPr>
            <w:r>
              <w:rPr>
                <w:rFonts w:hint="eastAsia" w:ascii="Times New Roman"/>
                <w:sz w:val="18"/>
                <w:szCs w:val="18"/>
                <w:lang w:val="en-US" w:eastAsia="zh-CN"/>
              </w:rPr>
              <w:t>6</w:t>
            </w:r>
          </w:p>
        </w:tc>
        <w:tc>
          <w:tcPr>
            <w:tcW w:w="5528" w:type="dxa"/>
            <w:vAlign w:val="center"/>
          </w:tcPr>
          <w:p w14:paraId="347F65A0">
            <w:pPr>
              <w:adjustRightInd w:val="0"/>
              <w:snapToGrid w:val="0"/>
              <w:spacing w:after="0" w:line="360" w:lineRule="auto"/>
              <w:jc w:val="left"/>
              <w:rPr>
                <w:rFonts w:hint="eastAsia"/>
                <w:sz w:val="18"/>
                <w:szCs w:val="18"/>
              </w:rPr>
            </w:pPr>
            <w:r>
              <w:rPr>
                <w:rFonts w:hint="eastAsia"/>
                <w:sz w:val="18"/>
                <w:szCs w:val="18"/>
              </w:rPr>
              <w:t>南京西麦大健康科技有限公司是西麦食品集团（A股上市公司，股票代码002956）旗下专注于大健康食品研发的全资子公司，围绕燕麦元素打造创新性大健康食品。作为项目的完成单位，与陕西师范大学、西北农林科技大学密切开展项目合作，合作申报陕西省教育厅科技进步奖，参与国家燕麦荞麦产业技术体系的示范推广任务，为项目顺利完成做出了重要贡献，主要表现为：与项目组合作应用燕麦加工新技术进行，产业化生产系列燕麦片、燕麦麸等燕麦产品，有力的推动了国内燕麦产品市场的形成和发展。</w:t>
            </w:r>
          </w:p>
        </w:tc>
      </w:tr>
    </w:tbl>
    <w:p w14:paraId="4BFF3BA6">
      <w:pPr>
        <w:pStyle w:val="5"/>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rPr>
      </w:pPr>
      <w:r>
        <w:rPr>
          <w:rFonts w:hint="eastAsia"/>
          <w:b/>
        </w:rPr>
        <w:t>九、完成人合作关系说明</w:t>
      </w:r>
    </w:p>
    <w:p w14:paraId="5D1C9CF4">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本人胡新中，作为《杂粮健康食品加工关键技术创新与产业化应用》项目第一完成人，现将本项目完成人之间的合作经历与合作关系说明如下。</w:t>
      </w:r>
    </w:p>
    <w:p w14:paraId="17AA1CAF">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本成果由陕西师范大学、西北农林科技大学、陕西学前师范学院、陕西金沙河面业有限责任公司、淳化县丝路兴淳农业发展科技有限公司和南京西麦大健康科技有限公司合作完成，形成了优势互补、紧密协作的产学研团队。各完成人在项目实施中长期稳定合作，建立了良好的学术交流与任务分工机制。第一完成人胡新中全程主导项目设计、实施与成果凝练，承担了主要科学问题的提出与关键技术路线的组织工作；李小平、马蓁、任田、董锐等分别在燕麦加工基础研究、淀粉改性包埋技术、淀粉基功能材料、加工标准化建设中发挥了重要作用；杜双奎在杂粮功能成分加工调控与品质评价方面长期学术协作；王晓龙、邢亚楠、刘锐、罗小彪、李璐等在企业技术开发、装备配套与成果产业化应用方面做出了积极贡献。各位完成人之间通过论文合著、共同知识产权、共同制定标准、共同获奖等方式合作研究，联合完成的相关成果体现了团队成员间真实、紧密的合作关系。</w:t>
      </w:r>
    </w:p>
    <w:p w14:paraId="0141F8F1">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胡新中与李小平、马蓁等通过合作，围绕燕麦加工过程中淀粉结构与功能调控这一核心科学问题开展系统研究，揭示了燕麦β-葡聚糖含量、分子量与加工品质的内在联系，验证了淀粉脱支改性长短程结构演变与回生机理，共同攻关了燕麦全籽粒挤压成型、抗性淀粉包埋等关键技术与装备，成果在合作企业实现产业化应用。共同获授权发明专利</w:t>
      </w:r>
      <w:r>
        <w:rPr>
          <w:rFonts w:hint="eastAsia" w:ascii="Times New Roman" w:hAnsi="Times New Roman" w:eastAsia="宋体" w:cs="Times New Roman"/>
          <w:szCs w:val="21"/>
        </w:rPr>
        <w:t>“一种燕麦全籽粒挤压产品的生产方法”</w:t>
      </w:r>
      <w:r>
        <w:rPr>
          <w:rFonts w:ascii="Times New Roman" w:hAnsi="Times New Roman" w:eastAsia="宋体" w:cs="Times New Roman"/>
          <w:szCs w:val="21"/>
        </w:rPr>
        <w:t>（必备附件1.1）、实用新型专利</w:t>
      </w:r>
      <w:r>
        <w:rPr>
          <w:rFonts w:hint="eastAsia" w:ascii="Times New Roman" w:hAnsi="Times New Roman" w:eastAsia="宋体" w:cs="Times New Roman"/>
          <w:szCs w:val="21"/>
        </w:rPr>
        <w:t>“抗性淀粉包埋加工装置”</w:t>
      </w:r>
      <w:r>
        <w:rPr>
          <w:rFonts w:ascii="Times New Roman" w:hAnsi="Times New Roman" w:eastAsia="宋体" w:cs="Times New Roman"/>
          <w:szCs w:val="21"/>
        </w:rPr>
        <w:t>（其它附件2.4），共同发表SCI论文”Solvent retention capacity of oat flour: Relationship with oat beta-glucan content and molecular weight”（必备附件3.3④）、“Long- and short-range structural characteristics of pea starch modified by autoclaving, α-amylolysis, and pullulanase debranching”（必备附件3.3⑤），共同完成的</w:t>
      </w:r>
      <w:r>
        <w:rPr>
          <w:rFonts w:hint="eastAsia" w:ascii="Times New Roman" w:hAnsi="Times New Roman" w:eastAsia="宋体" w:cs="Times New Roman"/>
          <w:szCs w:val="21"/>
        </w:rPr>
        <w:t>“抗性淀粉加工关键技术及其在功能食品中的创新应用”</w:t>
      </w:r>
      <w:r>
        <w:rPr>
          <w:rFonts w:ascii="Times New Roman" w:hAnsi="Times New Roman" w:eastAsia="宋体" w:cs="Times New Roman"/>
          <w:szCs w:val="21"/>
        </w:rPr>
        <w:t>成果获2025年中餐工业化创新成果奖（必备附件3.3⑧）。</w:t>
      </w:r>
    </w:p>
    <w:p w14:paraId="36B50C8D">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与杜双奎等合作，开展了燕麦功能成分加工调控研究，验证了酶处理调控燕麦酚类物质释放与抗氧化活性的理论，为燕麦健康食品加工提供了理论依据。杜双奎与胡新中长期在杂粮加工品质评价方向保持合作，共同发表SCI论文“Alpha-amylase treatment increases extractable phenolics and antioxidant capacity of oat (Avena nuda L.) flour”（必备附件3.3②）。</w:t>
      </w:r>
    </w:p>
    <w:p w14:paraId="54117A92">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与李小平、马蓁、任田、董锐、王晓龙、罗小彪等合作，围绕荞面饸饹等传统杂粮面制品品质不稳定、工业化程度低的产业难题联合攻关，建立了</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rPr>
        <w:t>原料评价—工艺优化—品质调控”技术体系</w:t>
      </w:r>
      <w:r>
        <w:rPr>
          <w:rFonts w:ascii="Times New Roman" w:hAnsi="Times New Roman" w:eastAsia="宋体" w:cs="Times New Roman"/>
          <w:szCs w:val="21"/>
        </w:rPr>
        <w:t>，在荞乡遇、丝路兴淳等企业共同开展技术应用示范与产业化推广，7位完成人共同完成的</w:t>
      </w:r>
      <w:r>
        <w:rPr>
          <w:rFonts w:hint="eastAsia" w:ascii="Times New Roman" w:hAnsi="Times New Roman" w:eastAsia="宋体" w:cs="Times New Roman"/>
          <w:szCs w:val="21"/>
        </w:rPr>
        <w:t>“传统荞面饸饹品质提升技术创新”</w:t>
      </w:r>
      <w:r>
        <w:rPr>
          <w:rFonts w:ascii="Times New Roman" w:hAnsi="Times New Roman" w:eastAsia="宋体" w:cs="Times New Roman"/>
          <w:szCs w:val="21"/>
        </w:rPr>
        <w:t>成果获2024年世界中餐工业化创新成果奖（必备附件3.3③）。围绕产业化关键环节，团队内部分工协作：胡新中与王晓龙共同攻关速冻燕麦面制品工业化生产技术，共同获授权发明专利</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rPr>
        <w:t>一种速冻熟燕麦窝窝及其制作方法”</w:t>
      </w:r>
      <w:r>
        <w:rPr>
          <w:rFonts w:ascii="Times New Roman" w:hAnsi="Times New Roman" w:eastAsia="宋体" w:cs="Times New Roman"/>
          <w:szCs w:val="21"/>
        </w:rPr>
        <w:t>（必备附件1.2）并在合作企业投入生产；胡新中与董锐共同推动燕麦加工标准化，共同制定中国粮油学会团体标准《燕麦片》（其它附件2.6），在西麦、塞宝等企业推进实施；胡新中与任田共同开展淀粉基功能材料与食品品质评价研究，共同发表高水平论文</w:t>
      </w:r>
      <w:r>
        <w:rPr>
          <w:rFonts w:hint="default" w:ascii="Times New Roman" w:hAnsi="Times New Roman" w:eastAsia="宋体" w:cs="Times New Roman"/>
          <w:szCs w:val="21"/>
          <w:lang w:val="en-US" w:eastAsia="zh-CN"/>
        </w:rPr>
        <w:t>”</w:t>
      </w:r>
      <w:r>
        <w:rPr>
          <w:rFonts w:ascii="Times New Roman" w:hAnsi="Times New Roman" w:eastAsia="宋体" w:cs="Times New Roman"/>
          <w:szCs w:val="21"/>
        </w:rPr>
        <w:t>Novel pH-sensitive films based on starch/polyvinyl alcohol and food anthocyanins as a visual indicator of shrimp deterioration”（必备附件3.3①）。</w:t>
      </w:r>
    </w:p>
    <w:p w14:paraId="52AEAD1B">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与马蓁合作，系统总结了面制品加工的理论与技术成果，构建了杂粮面制品加工理论体系。共同合著专著《大宗面制品加工理论与实践》（其它附件2.7）。</w:t>
      </w:r>
    </w:p>
    <w:p w14:paraId="7C75AD99">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与邢亚楠与刘锐等合作，针对挂面干燥能耗高、品质不稳定的产业问题，开发了低频电磁场干燥技术。共同获授权发明专利</w:t>
      </w:r>
      <w:r>
        <w:rPr>
          <w:rFonts w:hint="eastAsia" w:ascii="Times New Roman" w:hAnsi="Times New Roman" w:eastAsia="宋体" w:cs="Times New Roman"/>
          <w:szCs w:val="21"/>
        </w:rPr>
        <w:t>“一种低频电磁场干燥挂面的方法”</w:t>
      </w:r>
      <w:r>
        <w:rPr>
          <w:rFonts w:ascii="Times New Roman" w:hAnsi="Times New Roman" w:eastAsia="宋体" w:cs="Times New Roman"/>
          <w:szCs w:val="21"/>
        </w:rPr>
        <w:t>（其它附件2.2）。</w:t>
      </w:r>
    </w:p>
    <w:p w14:paraId="1E185AEC">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与李小平、马蓁、李璐等通过合作，围绕燕麦食品加工适应性评价、燕麦主食产品与低GI食品开发、燕麦产品标准体系建设与产业化推广开展长期系统合作，共同完成的</w:t>
      </w:r>
      <w:r>
        <w:rPr>
          <w:rFonts w:hint="eastAsia" w:ascii="Times New Roman" w:hAnsi="Times New Roman" w:eastAsia="宋体" w:cs="Times New Roman"/>
          <w:szCs w:val="21"/>
        </w:rPr>
        <w:t>“燕麦食品产业化关键技术研究与产品创制”</w:t>
      </w:r>
      <w:r>
        <w:rPr>
          <w:rFonts w:ascii="Times New Roman" w:hAnsi="Times New Roman" w:eastAsia="宋体" w:cs="Times New Roman"/>
          <w:szCs w:val="21"/>
        </w:rPr>
        <w:t>成果获陕西省教育厅科技进步奖一等奖（2020年度陕西高等学校科学技术奖一等奖）（必备附件3.3⑨）。</w:t>
      </w:r>
    </w:p>
    <w:p w14:paraId="44DE09F8">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整体上，本项目完成人之间的合作贯穿基础研究、技术攻关、标准制定、理论总结与产业化应用全链条的网络化协作，团队在长期协作过程中形成了优势互补、合作共赢的学术氛围，确保了成果的科学性和完整性。</w:t>
      </w:r>
    </w:p>
    <w:p w14:paraId="4D1110DC">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r>
        <w:rPr>
          <w:rFonts w:ascii="Times New Roman" w:hAnsi="Times New Roman" w:eastAsia="宋体" w:cs="Times New Roman"/>
          <w:szCs w:val="21"/>
        </w:rPr>
        <w:t>承诺：本人作为项目第一完成人，对本项目完成人合作关系及上述内容的真实性负责，特此声明。</w:t>
      </w:r>
    </w:p>
    <w:p w14:paraId="6EF1E650">
      <w:pPr>
        <w:keepNext w:val="0"/>
        <w:keepLines w:val="0"/>
        <w:pageBreakBefore w:val="0"/>
        <w:widowControl w:val="0"/>
        <w:kinsoku/>
        <w:wordWrap/>
        <w:overflowPunct/>
        <w:topLinePunct w:val="0"/>
        <w:autoSpaceDE/>
        <w:autoSpaceDN/>
        <w:bidi w:val="0"/>
        <w:adjustRightInd/>
        <w:snapToGrid/>
        <w:spacing w:after="0" w:line="400" w:lineRule="exact"/>
        <w:ind w:firstLine="420" w:firstLineChars="200"/>
        <w:textAlignment w:val="auto"/>
        <w:rPr>
          <w:rFonts w:ascii="Times New Roman" w:hAnsi="Times New Roman" w:eastAsia="宋体" w:cs="Times New Roman"/>
          <w:szCs w:val="21"/>
        </w:rPr>
      </w:pPr>
    </w:p>
    <w:p w14:paraId="6B9E5FE0">
      <w:pPr>
        <w:pStyle w:val="5"/>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outlineLvl w:val="1"/>
        <w:rPr>
          <w:rFonts w:ascii="Times New Roman"/>
          <w:b/>
          <w:sz w:val="21"/>
          <w:szCs w:val="21"/>
        </w:rPr>
      </w:pPr>
      <w:r>
        <w:rPr>
          <w:rFonts w:ascii="Times New Roman"/>
          <w:b/>
          <w:sz w:val="21"/>
          <w:szCs w:val="21"/>
        </w:rPr>
        <w:t>完成人合作关系情况汇总表</w:t>
      </w:r>
    </w:p>
    <w:tbl>
      <w:tblPr>
        <w:tblStyle w:val="10"/>
        <w:tblW w:w="969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22"/>
        <w:gridCol w:w="1058"/>
        <w:gridCol w:w="1307"/>
        <w:gridCol w:w="1039"/>
        <w:gridCol w:w="992"/>
        <w:gridCol w:w="3785"/>
        <w:gridCol w:w="992"/>
      </w:tblGrid>
      <w:tr w14:paraId="3EA50F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7EF66CE2">
            <w:pPr>
              <w:keepNext w:val="0"/>
              <w:keepLines w:val="0"/>
              <w:pageBreakBefore w:val="0"/>
              <w:widowControl/>
              <w:kinsoku/>
              <w:wordWrap/>
              <w:overflowPunct/>
              <w:topLinePunct w:val="0"/>
              <w:autoSpaceDE/>
              <w:autoSpaceDN/>
              <w:bidi w:val="0"/>
              <w:snapToGrid/>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序号</w:t>
            </w:r>
          </w:p>
        </w:tc>
        <w:tc>
          <w:tcPr>
            <w:tcW w:w="1058" w:type="dxa"/>
            <w:vAlign w:val="center"/>
          </w:tcPr>
          <w:p w14:paraId="78935CB7">
            <w:pPr>
              <w:keepNext w:val="0"/>
              <w:keepLines w:val="0"/>
              <w:pageBreakBefore w:val="0"/>
              <w:widowControl/>
              <w:kinsoku/>
              <w:wordWrap/>
              <w:overflowPunct/>
              <w:topLinePunct w:val="0"/>
              <w:autoSpaceDE/>
              <w:autoSpaceDN/>
              <w:bidi w:val="0"/>
              <w:snapToGrid/>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合作方式</w:t>
            </w:r>
          </w:p>
        </w:tc>
        <w:tc>
          <w:tcPr>
            <w:tcW w:w="1307" w:type="dxa"/>
            <w:vAlign w:val="center"/>
          </w:tcPr>
          <w:p w14:paraId="5C1BD81A">
            <w:pPr>
              <w:keepNext w:val="0"/>
              <w:keepLines w:val="0"/>
              <w:pageBreakBefore w:val="0"/>
              <w:widowControl/>
              <w:kinsoku/>
              <w:wordWrap/>
              <w:overflowPunct/>
              <w:topLinePunct w:val="0"/>
              <w:autoSpaceDE/>
              <w:autoSpaceDN/>
              <w:bidi w:val="0"/>
              <w:snapToGrid/>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合作者/项目排名</w:t>
            </w:r>
          </w:p>
        </w:tc>
        <w:tc>
          <w:tcPr>
            <w:tcW w:w="1039" w:type="dxa"/>
            <w:vAlign w:val="center"/>
          </w:tcPr>
          <w:p w14:paraId="21FD5ECB">
            <w:pPr>
              <w:keepNext w:val="0"/>
              <w:keepLines w:val="0"/>
              <w:pageBreakBefore w:val="0"/>
              <w:widowControl/>
              <w:kinsoku/>
              <w:wordWrap/>
              <w:overflowPunct/>
              <w:topLinePunct w:val="0"/>
              <w:autoSpaceDE/>
              <w:autoSpaceDN/>
              <w:bidi w:val="0"/>
              <w:snapToGrid/>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合作起始时间</w:t>
            </w:r>
          </w:p>
        </w:tc>
        <w:tc>
          <w:tcPr>
            <w:tcW w:w="992" w:type="dxa"/>
            <w:vAlign w:val="center"/>
          </w:tcPr>
          <w:p w14:paraId="2163C188">
            <w:pPr>
              <w:keepNext w:val="0"/>
              <w:keepLines w:val="0"/>
              <w:pageBreakBefore w:val="0"/>
              <w:widowControl/>
              <w:kinsoku/>
              <w:wordWrap/>
              <w:overflowPunct/>
              <w:topLinePunct w:val="0"/>
              <w:autoSpaceDE/>
              <w:autoSpaceDN/>
              <w:bidi w:val="0"/>
              <w:snapToGrid/>
              <w:spacing w:after="0" w:line="240" w:lineRule="auto"/>
              <w:jc w:val="center"/>
              <w:textAlignment w:val="auto"/>
              <w:rPr>
                <w:rFonts w:ascii="Times New Roman" w:hAnsi="Times New Roman" w:eastAsia="宋体" w:cs="Times New Roman"/>
                <w:kern w:val="0"/>
                <w:sz w:val="18"/>
                <w:szCs w:val="18"/>
              </w:rPr>
            </w:pPr>
            <w:r>
              <w:rPr>
                <w:rFonts w:ascii="Times New Roman" w:hAnsi="Times New Roman" w:eastAsia="宋体" w:cs="Times New Roman"/>
                <w:kern w:val="0"/>
                <w:sz w:val="18"/>
                <w:szCs w:val="18"/>
              </w:rPr>
              <w:t>合作完成时间</w:t>
            </w:r>
          </w:p>
        </w:tc>
        <w:tc>
          <w:tcPr>
            <w:tcW w:w="3785" w:type="dxa"/>
            <w:vAlign w:val="center"/>
          </w:tcPr>
          <w:p w14:paraId="2050A876">
            <w:pPr>
              <w:keepNext w:val="0"/>
              <w:keepLines w:val="0"/>
              <w:pageBreakBefore w:val="0"/>
              <w:kinsoku/>
              <w:wordWrap/>
              <w:overflowPunct/>
              <w:topLinePunct w:val="0"/>
              <w:autoSpaceDE/>
              <w:autoSpaceDN/>
              <w:bidi w:val="0"/>
              <w:adjustRightInd w:val="0"/>
              <w:snapToGrid/>
              <w:spacing w:after="0" w:line="240" w:lineRule="auto"/>
              <w:jc w:val="center"/>
              <w:textAlignment w:val="auto"/>
              <w:outlineLvl w:val="1"/>
              <w:rPr>
                <w:rFonts w:ascii="Times New Roman" w:hAnsi="Times New Roman" w:eastAsia="宋体" w:cs="Times New Roman"/>
                <w:sz w:val="18"/>
                <w:szCs w:val="18"/>
              </w:rPr>
            </w:pPr>
            <w:r>
              <w:rPr>
                <w:rFonts w:ascii="Times New Roman" w:hAnsi="Times New Roman" w:eastAsia="宋体" w:cs="Times New Roman"/>
                <w:kern w:val="0"/>
                <w:sz w:val="18"/>
                <w:szCs w:val="18"/>
              </w:rPr>
              <w:t>合作成果</w:t>
            </w:r>
          </w:p>
        </w:tc>
        <w:tc>
          <w:tcPr>
            <w:tcW w:w="992" w:type="dxa"/>
            <w:vAlign w:val="center"/>
          </w:tcPr>
          <w:p w14:paraId="5480870F">
            <w:pPr>
              <w:keepNext w:val="0"/>
              <w:keepLines w:val="0"/>
              <w:pageBreakBefore w:val="0"/>
              <w:kinsoku/>
              <w:wordWrap/>
              <w:overflowPunct/>
              <w:topLinePunct w:val="0"/>
              <w:autoSpaceDE/>
              <w:autoSpaceDN/>
              <w:bidi w:val="0"/>
              <w:adjustRightInd w:val="0"/>
              <w:snapToGrid/>
              <w:spacing w:after="0" w:line="240" w:lineRule="auto"/>
              <w:jc w:val="center"/>
              <w:textAlignment w:val="auto"/>
              <w:outlineLvl w:val="1"/>
              <w:rPr>
                <w:rFonts w:ascii="Times New Roman" w:hAnsi="Times New Roman" w:eastAsia="宋体" w:cs="Times New Roman"/>
                <w:kern w:val="0"/>
                <w:sz w:val="18"/>
                <w:szCs w:val="18"/>
              </w:rPr>
            </w:pPr>
            <w:r>
              <w:rPr>
                <w:rFonts w:ascii="Times New Roman" w:hAnsi="Times New Roman" w:eastAsia="宋体" w:cs="Times New Roman"/>
                <w:kern w:val="0"/>
                <w:sz w:val="18"/>
                <w:szCs w:val="18"/>
              </w:rPr>
              <w:t>证明材料</w:t>
            </w:r>
          </w:p>
        </w:tc>
      </w:tr>
      <w:tr w14:paraId="0603A8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49" w:hRule="atLeast"/>
          <w:jc w:val="center"/>
        </w:trPr>
        <w:tc>
          <w:tcPr>
            <w:tcW w:w="522" w:type="dxa"/>
            <w:vAlign w:val="center"/>
          </w:tcPr>
          <w:p w14:paraId="1C341F47">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w:t>
            </w:r>
          </w:p>
        </w:tc>
        <w:tc>
          <w:tcPr>
            <w:tcW w:w="1058" w:type="dxa"/>
            <w:vAlign w:val="center"/>
          </w:tcPr>
          <w:p w14:paraId="440486C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共同知识产权</w:t>
            </w:r>
          </w:p>
        </w:tc>
        <w:tc>
          <w:tcPr>
            <w:tcW w:w="1307" w:type="dxa"/>
            <w:vAlign w:val="center"/>
          </w:tcPr>
          <w:p w14:paraId="5013147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308ABDE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tc>
        <w:tc>
          <w:tcPr>
            <w:tcW w:w="1039" w:type="dxa"/>
            <w:vAlign w:val="center"/>
          </w:tcPr>
          <w:p w14:paraId="02E358E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2012.1</w:t>
            </w:r>
          </w:p>
        </w:tc>
        <w:tc>
          <w:tcPr>
            <w:tcW w:w="992" w:type="dxa"/>
            <w:vAlign w:val="center"/>
          </w:tcPr>
          <w:p w14:paraId="6994141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24218D2B">
            <w:pPr>
              <w:keepNext w:val="0"/>
              <w:keepLines w:val="0"/>
              <w:pageBreakBefore w:val="0"/>
              <w:kinsoku/>
              <w:wordWrap/>
              <w:overflowPunct/>
              <w:topLinePunct w:val="0"/>
              <w:autoSpaceDE/>
              <w:autoSpaceDN/>
              <w:bidi w:val="0"/>
              <w:snapToGrid/>
              <w:spacing w:after="0" w:line="240" w:lineRule="auto"/>
              <w:textAlignment w:val="auto"/>
              <w:rPr>
                <w:rFonts w:ascii="Times New Roman" w:hAnsi="Times New Roman" w:eastAsia="宋体" w:cs="Times New Roman"/>
                <w:sz w:val="18"/>
                <w:szCs w:val="18"/>
              </w:rPr>
            </w:pPr>
            <w:r>
              <w:rPr>
                <w:rFonts w:ascii="Times New Roman" w:hAnsi="Times New Roman" w:eastAsia="宋体" w:cs="Times New Roman"/>
                <w:sz w:val="18"/>
                <w:szCs w:val="18"/>
              </w:rPr>
              <w:t>一种燕麦全籽粒挤压产品的生产方法</w:t>
            </w:r>
          </w:p>
        </w:tc>
        <w:tc>
          <w:tcPr>
            <w:tcW w:w="992" w:type="dxa"/>
            <w:vAlign w:val="center"/>
          </w:tcPr>
          <w:p w14:paraId="542D79E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必备附件1.1</w:t>
            </w:r>
          </w:p>
        </w:tc>
      </w:tr>
      <w:tr w14:paraId="69486D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0F2AB42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w:t>
            </w:r>
          </w:p>
        </w:tc>
        <w:tc>
          <w:tcPr>
            <w:tcW w:w="1058" w:type="dxa"/>
            <w:vAlign w:val="center"/>
          </w:tcPr>
          <w:p w14:paraId="281CA70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共同知识产权</w:t>
            </w:r>
          </w:p>
        </w:tc>
        <w:tc>
          <w:tcPr>
            <w:tcW w:w="1307" w:type="dxa"/>
            <w:vAlign w:val="center"/>
          </w:tcPr>
          <w:p w14:paraId="7744F42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0BB1F77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王晓龙/7</w:t>
            </w:r>
          </w:p>
        </w:tc>
        <w:tc>
          <w:tcPr>
            <w:tcW w:w="1039" w:type="dxa"/>
            <w:vAlign w:val="center"/>
          </w:tcPr>
          <w:p w14:paraId="382704F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2018.10</w:t>
            </w:r>
          </w:p>
        </w:tc>
        <w:tc>
          <w:tcPr>
            <w:tcW w:w="992" w:type="dxa"/>
            <w:vAlign w:val="center"/>
          </w:tcPr>
          <w:p w14:paraId="1EA88EC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7841365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一种速冻熟燕麦窝窝及其制作方法</w:t>
            </w:r>
          </w:p>
        </w:tc>
        <w:tc>
          <w:tcPr>
            <w:tcW w:w="992" w:type="dxa"/>
            <w:vAlign w:val="center"/>
          </w:tcPr>
          <w:p w14:paraId="524EB5C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必备附件1.2</w:t>
            </w:r>
          </w:p>
        </w:tc>
      </w:tr>
      <w:tr w14:paraId="54D910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01E89FE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3</w:t>
            </w:r>
          </w:p>
        </w:tc>
        <w:tc>
          <w:tcPr>
            <w:tcW w:w="1058" w:type="dxa"/>
            <w:vAlign w:val="center"/>
          </w:tcPr>
          <w:p w14:paraId="548FC42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共同知识产权</w:t>
            </w:r>
          </w:p>
        </w:tc>
        <w:tc>
          <w:tcPr>
            <w:tcW w:w="1307" w:type="dxa"/>
            <w:vAlign w:val="center"/>
          </w:tcPr>
          <w:p w14:paraId="62A9A82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51DC818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315299D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tc>
        <w:tc>
          <w:tcPr>
            <w:tcW w:w="1039" w:type="dxa"/>
            <w:vAlign w:val="center"/>
          </w:tcPr>
          <w:p w14:paraId="177DC18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2012.1</w:t>
            </w:r>
          </w:p>
        </w:tc>
        <w:tc>
          <w:tcPr>
            <w:tcW w:w="992" w:type="dxa"/>
            <w:vAlign w:val="center"/>
          </w:tcPr>
          <w:p w14:paraId="2FF44E4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2433EB4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抗性淀粉包埋加工装置</w:t>
            </w:r>
          </w:p>
        </w:tc>
        <w:tc>
          <w:tcPr>
            <w:tcW w:w="992" w:type="dxa"/>
            <w:vAlign w:val="center"/>
          </w:tcPr>
          <w:p w14:paraId="73006F6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必备附件1.3</w:t>
            </w:r>
          </w:p>
        </w:tc>
      </w:tr>
      <w:tr w14:paraId="0C2A59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12" w:hRule="atLeast"/>
          <w:jc w:val="center"/>
        </w:trPr>
        <w:tc>
          <w:tcPr>
            <w:tcW w:w="522" w:type="dxa"/>
            <w:vAlign w:val="center"/>
          </w:tcPr>
          <w:p w14:paraId="2A5DD36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4</w:t>
            </w:r>
          </w:p>
        </w:tc>
        <w:tc>
          <w:tcPr>
            <w:tcW w:w="1058" w:type="dxa"/>
            <w:vAlign w:val="center"/>
          </w:tcPr>
          <w:p w14:paraId="1B5F484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参与制定标准规范</w:t>
            </w:r>
          </w:p>
        </w:tc>
        <w:tc>
          <w:tcPr>
            <w:tcW w:w="1307" w:type="dxa"/>
            <w:vAlign w:val="center"/>
          </w:tcPr>
          <w:p w14:paraId="70051EF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4F48E8D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董锐/6</w:t>
            </w:r>
          </w:p>
        </w:tc>
        <w:tc>
          <w:tcPr>
            <w:tcW w:w="1039" w:type="dxa"/>
            <w:vAlign w:val="center"/>
          </w:tcPr>
          <w:p w14:paraId="66453D5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2012.1</w:t>
            </w:r>
          </w:p>
        </w:tc>
        <w:tc>
          <w:tcPr>
            <w:tcW w:w="992" w:type="dxa"/>
            <w:vAlign w:val="center"/>
          </w:tcPr>
          <w:p w14:paraId="39612AB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20E82D3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《燕麦片》团体标准</w:t>
            </w:r>
          </w:p>
        </w:tc>
        <w:tc>
          <w:tcPr>
            <w:tcW w:w="992" w:type="dxa"/>
            <w:vAlign w:val="center"/>
          </w:tcPr>
          <w:p w14:paraId="2A1A318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其它附件2.5</w:t>
            </w:r>
          </w:p>
        </w:tc>
      </w:tr>
      <w:tr w14:paraId="43B63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32B33FB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5</w:t>
            </w:r>
          </w:p>
        </w:tc>
        <w:tc>
          <w:tcPr>
            <w:tcW w:w="1058" w:type="dxa"/>
            <w:vAlign w:val="center"/>
          </w:tcPr>
          <w:p w14:paraId="7F3FDCF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专著</w:t>
            </w:r>
          </w:p>
          <w:p w14:paraId="465AB95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63E7FE4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73756C4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tc>
        <w:tc>
          <w:tcPr>
            <w:tcW w:w="1039" w:type="dxa"/>
            <w:vAlign w:val="center"/>
          </w:tcPr>
          <w:p w14:paraId="4836725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2014.1</w:t>
            </w:r>
          </w:p>
        </w:tc>
        <w:tc>
          <w:tcPr>
            <w:tcW w:w="992" w:type="dxa"/>
            <w:vAlign w:val="center"/>
          </w:tcPr>
          <w:p w14:paraId="1479315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5A9C184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大宗面制品加工理论与实践</w:t>
            </w:r>
          </w:p>
        </w:tc>
        <w:tc>
          <w:tcPr>
            <w:tcW w:w="992" w:type="dxa"/>
            <w:vAlign w:val="center"/>
          </w:tcPr>
          <w:p w14:paraId="63CD308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其它附件2.6</w:t>
            </w:r>
          </w:p>
        </w:tc>
      </w:tr>
      <w:tr w14:paraId="07F946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6CD22E4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6</w:t>
            </w:r>
          </w:p>
        </w:tc>
        <w:tc>
          <w:tcPr>
            <w:tcW w:w="1058" w:type="dxa"/>
            <w:vAlign w:val="center"/>
          </w:tcPr>
          <w:p w14:paraId="5CC5AEA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5705B76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2E19B87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1046499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任田/4</w:t>
            </w:r>
          </w:p>
        </w:tc>
        <w:tc>
          <w:tcPr>
            <w:tcW w:w="1039" w:type="dxa"/>
            <w:vAlign w:val="center"/>
          </w:tcPr>
          <w:p w14:paraId="155C596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08D3DFC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0DA22D0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Novel pH-sensitive films based on starch/polyvinyl alcohol and food anthocyanins as a visual indicator of shrimp deterioration</w:t>
            </w:r>
          </w:p>
        </w:tc>
        <w:tc>
          <w:tcPr>
            <w:tcW w:w="992" w:type="dxa"/>
            <w:vAlign w:val="center"/>
          </w:tcPr>
          <w:p w14:paraId="4C1CDDD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①</w:t>
            </w:r>
          </w:p>
        </w:tc>
      </w:tr>
      <w:tr w14:paraId="339342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6F08677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7</w:t>
            </w:r>
          </w:p>
        </w:tc>
        <w:tc>
          <w:tcPr>
            <w:tcW w:w="1058" w:type="dxa"/>
            <w:vAlign w:val="center"/>
          </w:tcPr>
          <w:p w14:paraId="4E0D247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5827B02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6BE1568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58AF3D7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杜双奎/5</w:t>
            </w:r>
          </w:p>
        </w:tc>
        <w:tc>
          <w:tcPr>
            <w:tcW w:w="1039" w:type="dxa"/>
            <w:vAlign w:val="center"/>
          </w:tcPr>
          <w:p w14:paraId="0DE4F29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2010.1</w:t>
            </w:r>
          </w:p>
        </w:tc>
        <w:tc>
          <w:tcPr>
            <w:tcW w:w="992" w:type="dxa"/>
            <w:vAlign w:val="center"/>
          </w:tcPr>
          <w:p w14:paraId="4267A39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561DBD9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Alpha-amylase treatment increases extractable phenolics and</w:t>
            </w:r>
          </w:p>
          <w:p w14:paraId="154F335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antioxidant capacity of oat (Avena nuda L.) flour</w:t>
            </w:r>
          </w:p>
        </w:tc>
        <w:tc>
          <w:tcPr>
            <w:tcW w:w="992" w:type="dxa"/>
            <w:vAlign w:val="center"/>
          </w:tcPr>
          <w:p w14:paraId="5E28BFB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②</w:t>
            </w:r>
          </w:p>
        </w:tc>
      </w:tr>
      <w:tr w14:paraId="2D2CD7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0F41070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8</w:t>
            </w:r>
          </w:p>
        </w:tc>
        <w:tc>
          <w:tcPr>
            <w:tcW w:w="1058" w:type="dxa"/>
            <w:vAlign w:val="center"/>
          </w:tcPr>
          <w:p w14:paraId="142F9B2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共同知识产权</w:t>
            </w:r>
          </w:p>
        </w:tc>
        <w:tc>
          <w:tcPr>
            <w:tcW w:w="1307" w:type="dxa"/>
            <w:vAlign w:val="center"/>
          </w:tcPr>
          <w:p w14:paraId="7157CD2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邢亚楠/8</w:t>
            </w:r>
          </w:p>
          <w:p w14:paraId="58DED1A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刘锐/9</w:t>
            </w:r>
          </w:p>
        </w:tc>
        <w:tc>
          <w:tcPr>
            <w:tcW w:w="1039" w:type="dxa"/>
            <w:vAlign w:val="center"/>
          </w:tcPr>
          <w:p w14:paraId="26B3861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w:t>
            </w:r>
            <w:r>
              <w:rPr>
                <w:rFonts w:hint="eastAsia" w:ascii="Times New Roman" w:hAnsi="Times New Roman" w:eastAsia="宋体" w:cs="Times New Roman"/>
                <w:sz w:val="18"/>
                <w:szCs w:val="18"/>
              </w:rPr>
              <w:t>8</w:t>
            </w:r>
            <w:r>
              <w:rPr>
                <w:rFonts w:ascii="Times New Roman" w:hAnsi="Times New Roman" w:eastAsia="宋体" w:cs="Times New Roman"/>
                <w:sz w:val="18"/>
                <w:szCs w:val="18"/>
              </w:rPr>
              <w:t>.1</w:t>
            </w:r>
          </w:p>
        </w:tc>
        <w:tc>
          <w:tcPr>
            <w:tcW w:w="992" w:type="dxa"/>
            <w:vAlign w:val="center"/>
          </w:tcPr>
          <w:p w14:paraId="62835C9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200776D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一种低频电磁场干燥挂面的方法</w:t>
            </w:r>
          </w:p>
        </w:tc>
        <w:tc>
          <w:tcPr>
            <w:tcW w:w="992" w:type="dxa"/>
            <w:vAlign w:val="center"/>
          </w:tcPr>
          <w:p w14:paraId="2046883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其它附件2.2</w:t>
            </w:r>
          </w:p>
        </w:tc>
      </w:tr>
      <w:tr w14:paraId="52C089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272DAF2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9</w:t>
            </w:r>
          </w:p>
        </w:tc>
        <w:tc>
          <w:tcPr>
            <w:tcW w:w="1058" w:type="dxa"/>
            <w:vAlign w:val="center"/>
          </w:tcPr>
          <w:p w14:paraId="77574AE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w:t>
            </w:r>
          </w:p>
          <w:p w14:paraId="02AAB30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获奖</w:t>
            </w:r>
          </w:p>
        </w:tc>
        <w:tc>
          <w:tcPr>
            <w:tcW w:w="1307" w:type="dxa"/>
            <w:vAlign w:val="center"/>
          </w:tcPr>
          <w:p w14:paraId="707ECDB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475501D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25B8BC3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p w14:paraId="5CC77B2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任田/4</w:t>
            </w:r>
          </w:p>
          <w:p w14:paraId="0983CB0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董锐/6</w:t>
            </w:r>
          </w:p>
          <w:p w14:paraId="50B783B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王晓龙/7</w:t>
            </w:r>
          </w:p>
          <w:p w14:paraId="0660D1F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罗小彪/10</w:t>
            </w:r>
          </w:p>
        </w:tc>
        <w:tc>
          <w:tcPr>
            <w:tcW w:w="1039" w:type="dxa"/>
            <w:vAlign w:val="center"/>
          </w:tcPr>
          <w:p w14:paraId="35D3A9D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13941AF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2025.9</w:t>
            </w:r>
          </w:p>
        </w:tc>
        <w:tc>
          <w:tcPr>
            <w:tcW w:w="3785" w:type="dxa"/>
            <w:vAlign w:val="center"/>
          </w:tcPr>
          <w:p w14:paraId="3740FAF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传统荞面饸饹品质提升技术创新</w:t>
            </w:r>
          </w:p>
        </w:tc>
        <w:tc>
          <w:tcPr>
            <w:tcW w:w="992" w:type="dxa"/>
            <w:vAlign w:val="center"/>
          </w:tcPr>
          <w:p w14:paraId="48A2318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③</w:t>
            </w:r>
          </w:p>
        </w:tc>
      </w:tr>
      <w:tr w14:paraId="3EAEB3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48DBE96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10</w:t>
            </w:r>
          </w:p>
        </w:tc>
        <w:tc>
          <w:tcPr>
            <w:tcW w:w="1058" w:type="dxa"/>
            <w:vAlign w:val="center"/>
          </w:tcPr>
          <w:p w14:paraId="597C0C6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15B2511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64B412C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3E16306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3632545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tc>
        <w:tc>
          <w:tcPr>
            <w:tcW w:w="1039" w:type="dxa"/>
            <w:vAlign w:val="center"/>
          </w:tcPr>
          <w:p w14:paraId="6FB34EB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2A6DBF2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12B0429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Solvent retention capacity of oat flour: Relationship with oat beta-glucan content and molecular weight</w:t>
            </w:r>
          </w:p>
        </w:tc>
        <w:tc>
          <w:tcPr>
            <w:tcW w:w="992" w:type="dxa"/>
            <w:vAlign w:val="center"/>
          </w:tcPr>
          <w:p w14:paraId="2B6CA299">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④</w:t>
            </w:r>
          </w:p>
        </w:tc>
      </w:tr>
      <w:tr w14:paraId="32BFB9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662BB83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11</w:t>
            </w:r>
          </w:p>
        </w:tc>
        <w:tc>
          <w:tcPr>
            <w:tcW w:w="1058" w:type="dxa"/>
            <w:vAlign w:val="center"/>
          </w:tcPr>
          <w:p w14:paraId="54FAF46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6F45EE0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2E3CF042">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672D6E0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tc>
        <w:tc>
          <w:tcPr>
            <w:tcW w:w="1039" w:type="dxa"/>
            <w:vAlign w:val="center"/>
          </w:tcPr>
          <w:p w14:paraId="4778B7F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6BEAC15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656DB9F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Long- and short-range structural characteristics of pea starch modified by autoclaving, α-amylolysis, and pullulanase debranching</w:t>
            </w:r>
          </w:p>
        </w:tc>
        <w:tc>
          <w:tcPr>
            <w:tcW w:w="992" w:type="dxa"/>
            <w:vAlign w:val="center"/>
          </w:tcPr>
          <w:p w14:paraId="60774C4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⑤</w:t>
            </w:r>
          </w:p>
        </w:tc>
      </w:tr>
      <w:tr w14:paraId="7F224B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73A914E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12</w:t>
            </w:r>
          </w:p>
        </w:tc>
        <w:tc>
          <w:tcPr>
            <w:tcW w:w="1058" w:type="dxa"/>
            <w:vAlign w:val="center"/>
          </w:tcPr>
          <w:p w14:paraId="3B8E9D4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0FB9246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7068127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13817F7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邢亚楠/8</w:t>
            </w:r>
          </w:p>
        </w:tc>
        <w:tc>
          <w:tcPr>
            <w:tcW w:w="1039" w:type="dxa"/>
            <w:vAlign w:val="center"/>
          </w:tcPr>
          <w:p w14:paraId="6620DF5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2E15FBB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13AA648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Modified Tartary buckwheat (Fagopyrum tataricum Gaertn.) starch by gaseous ozone: Structural, physicochemical and in vitro digestible properties</w:t>
            </w:r>
          </w:p>
        </w:tc>
        <w:tc>
          <w:tcPr>
            <w:tcW w:w="992" w:type="dxa"/>
            <w:vAlign w:val="center"/>
          </w:tcPr>
          <w:p w14:paraId="0ED1C397">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⑥</w:t>
            </w:r>
          </w:p>
        </w:tc>
      </w:tr>
      <w:tr w14:paraId="2FF4B7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2A548A5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13</w:t>
            </w:r>
          </w:p>
        </w:tc>
        <w:tc>
          <w:tcPr>
            <w:tcW w:w="1058" w:type="dxa"/>
            <w:vAlign w:val="center"/>
          </w:tcPr>
          <w:p w14:paraId="356A6BC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论文</w:t>
            </w:r>
          </w:p>
          <w:p w14:paraId="71DD022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合著</w:t>
            </w:r>
          </w:p>
        </w:tc>
        <w:tc>
          <w:tcPr>
            <w:tcW w:w="1307" w:type="dxa"/>
            <w:vAlign w:val="center"/>
          </w:tcPr>
          <w:p w14:paraId="124D1ECF">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546BDEC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刘锐/9</w:t>
            </w:r>
          </w:p>
        </w:tc>
        <w:tc>
          <w:tcPr>
            <w:tcW w:w="1039" w:type="dxa"/>
            <w:vAlign w:val="center"/>
          </w:tcPr>
          <w:p w14:paraId="3E72EF4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699F00E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7FFBBA51">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Effect of gaseous ozone treatment on the microbial and physicochemical properties of buckwheat-based composite flour and shelf-life extension of fresh noodles</w:t>
            </w:r>
          </w:p>
        </w:tc>
        <w:tc>
          <w:tcPr>
            <w:tcW w:w="992" w:type="dxa"/>
            <w:vAlign w:val="center"/>
          </w:tcPr>
          <w:p w14:paraId="0EE7FB0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⑦</w:t>
            </w:r>
          </w:p>
        </w:tc>
      </w:tr>
      <w:tr w14:paraId="687BF5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71A965C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14</w:t>
            </w:r>
          </w:p>
        </w:tc>
        <w:tc>
          <w:tcPr>
            <w:tcW w:w="1058" w:type="dxa"/>
            <w:vAlign w:val="center"/>
          </w:tcPr>
          <w:p w14:paraId="41AE60F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w:t>
            </w:r>
          </w:p>
          <w:p w14:paraId="35D0D60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获奖</w:t>
            </w:r>
          </w:p>
        </w:tc>
        <w:tc>
          <w:tcPr>
            <w:tcW w:w="1307" w:type="dxa"/>
            <w:vAlign w:val="center"/>
          </w:tcPr>
          <w:p w14:paraId="123799B7">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75B29E2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4C16D4F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p w14:paraId="4C9A00D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任田/4</w:t>
            </w:r>
          </w:p>
          <w:p w14:paraId="77B318BE">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董锐/6</w:t>
            </w:r>
          </w:p>
          <w:p w14:paraId="37FFF72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王晓龙/7</w:t>
            </w:r>
          </w:p>
          <w:p w14:paraId="66B71F9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邢亚楠/9</w:t>
            </w:r>
          </w:p>
        </w:tc>
        <w:tc>
          <w:tcPr>
            <w:tcW w:w="1039" w:type="dxa"/>
            <w:vAlign w:val="center"/>
          </w:tcPr>
          <w:p w14:paraId="7D11A36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2018.1</w:t>
            </w:r>
          </w:p>
        </w:tc>
        <w:tc>
          <w:tcPr>
            <w:tcW w:w="992" w:type="dxa"/>
            <w:vAlign w:val="center"/>
          </w:tcPr>
          <w:p w14:paraId="5278C78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12F2199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抗性淀粉加工关键技术及其在功能食品中的创新应用</w:t>
            </w:r>
          </w:p>
        </w:tc>
        <w:tc>
          <w:tcPr>
            <w:tcW w:w="992" w:type="dxa"/>
            <w:vAlign w:val="center"/>
          </w:tcPr>
          <w:p w14:paraId="51C200DC">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⑧</w:t>
            </w:r>
          </w:p>
        </w:tc>
      </w:tr>
      <w:tr w14:paraId="082EF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522" w:type="dxa"/>
            <w:vAlign w:val="center"/>
          </w:tcPr>
          <w:p w14:paraId="4FEB40CA">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15</w:t>
            </w:r>
          </w:p>
        </w:tc>
        <w:tc>
          <w:tcPr>
            <w:tcW w:w="1058" w:type="dxa"/>
            <w:vAlign w:val="center"/>
          </w:tcPr>
          <w:p w14:paraId="3F6E31B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共同</w:t>
            </w:r>
          </w:p>
          <w:p w14:paraId="1098F968">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获奖</w:t>
            </w:r>
          </w:p>
        </w:tc>
        <w:tc>
          <w:tcPr>
            <w:tcW w:w="1307" w:type="dxa"/>
            <w:vAlign w:val="center"/>
          </w:tcPr>
          <w:p w14:paraId="5D91656B">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胡新中/1</w:t>
            </w:r>
          </w:p>
          <w:p w14:paraId="33148ECD">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李小平/2</w:t>
            </w:r>
          </w:p>
          <w:p w14:paraId="7FBBCF24">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马蓁/3</w:t>
            </w:r>
          </w:p>
          <w:p w14:paraId="7AA6F1B0">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李璐/11</w:t>
            </w:r>
          </w:p>
        </w:tc>
        <w:tc>
          <w:tcPr>
            <w:tcW w:w="1039" w:type="dxa"/>
            <w:vAlign w:val="center"/>
          </w:tcPr>
          <w:p w14:paraId="6AA19605">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2020.1</w:t>
            </w:r>
          </w:p>
        </w:tc>
        <w:tc>
          <w:tcPr>
            <w:tcW w:w="992" w:type="dxa"/>
            <w:vAlign w:val="center"/>
          </w:tcPr>
          <w:p w14:paraId="1DBB9AE6">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2026.9</w:t>
            </w:r>
          </w:p>
        </w:tc>
        <w:tc>
          <w:tcPr>
            <w:tcW w:w="3785" w:type="dxa"/>
            <w:vAlign w:val="center"/>
          </w:tcPr>
          <w:p w14:paraId="6B7DD733">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燕麦食品产业化关键技术研究与产品创制</w:t>
            </w:r>
          </w:p>
        </w:tc>
        <w:tc>
          <w:tcPr>
            <w:tcW w:w="992" w:type="dxa"/>
            <w:vAlign w:val="center"/>
          </w:tcPr>
          <w:p w14:paraId="05A90F87">
            <w:pPr>
              <w:keepNext w:val="0"/>
              <w:keepLines w:val="0"/>
              <w:pageBreakBefore w:val="0"/>
              <w:kinsoku/>
              <w:wordWrap/>
              <w:overflowPunct/>
              <w:topLinePunct w:val="0"/>
              <w:autoSpaceDE/>
              <w:autoSpaceDN/>
              <w:bidi w:val="0"/>
              <w:snapToGrid/>
              <w:spacing w:after="0" w:line="240" w:lineRule="auto"/>
              <w:jc w:val="center"/>
              <w:textAlignment w:val="auto"/>
              <w:rPr>
                <w:rFonts w:ascii="Times New Roman" w:hAnsi="Times New Roman" w:eastAsia="宋体" w:cs="Times New Roman"/>
                <w:sz w:val="18"/>
                <w:szCs w:val="18"/>
              </w:rPr>
            </w:pPr>
            <w:r>
              <w:rPr>
                <w:rFonts w:ascii="Times New Roman" w:hAnsi="Times New Roman" w:eastAsia="宋体" w:cs="Times New Roman"/>
                <w:sz w:val="18"/>
                <w:szCs w:val="18"/>
              </w:rPr>
              <w:t xml:space="preserve">必备附件3.3 </w:t>
            </w:r>
            <w:r>
              <w:rPr>
                <w:rFonts w:ascii="Cambria Math" w:hAnsi="Cambria Math" w:eastAsia="宋体" w:cs="Cambria Math"/>
                <w:sz w:val="18"/>
                <w:szCs w:val="18"/>
              </w:rPr>
              <w:t>⑨</w:t>
            </w:r>
          </w:p>
        </w:tc>
      </w:tr>
    </w:tbl>
    <w:p w14:paraId="7255C5B0">
      <w:pPr>
        <w:pStyle w:val="5"/>
        <w:ind w:firstLine="0" w:firstLineChars="0"/>
        <w:jc w:val="center"/>
        <w:outlineLvl w:val="1"/>
        <w:rPr>
          <w:rFonts w:ascii="Times New Roman"/>
          <w:b/>
          <w:sz w:val="28"/>
        </w:rPr>
      </w:pPr>
    </w:p>
    <w:p w14:paraId="6FF223C2">
      <w:pPr>
        <w:pStyle w:val="5"/>
        <w:ind w:firstLine="0" w:firstLineChars="0"/>
        <w:jc w:val="center"/>
        <w:outlineLvl w:val="1"/>
        <w:rPr>
          <w:rFonts w:ascii="Times New Roman"/>
          <w:b/>
          <w:sz w:val="28"/>
        </w:rPr>
      </w:pPr>
    </w:p>
    <w:p w14:paraId="0ADC0AAF">
      <w:pPr>
        <w:pStyle w:val="5"/>
        <w:widowControl w:val="0"/>
        <w:numPr>
          <w:ilvl w:val="0"/>
          <w:numId w:val="0"/>
        </w:numPr>
        <w:spacing w:after="160" w:line="360" w:lineRule="auto"/>
        <w:jc w:val="both"/>
        <w:rPr>
          <w:rFonts w:hint="eastAsia"/>
          <w:b/>
        </w:rPr>
      </w:pPr>
    </w:p>
    <w:p w14:paraId="64FBE159">
      <w:pPr>
        <w:pStyle w:val="5"/>
        <w:spacing w:line="400" w:lineRule="exact"/>
        <w:ind w:firstLine="0" w:firstLineChars="0"/>
        <w:jc w:val="left"/>
      </w:pPr>
    </w:p>
    <w:sectPr>
      <w:pgSz w:w="11906" w:h="16838"/>
      <w:pgMar w:top="1440" w:right="1797" w:bottom="1440" w:left="179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AxMjUyNDQ2MzA3NjFQ0lEKTi0uzszPAykwrQUA+Dt3eSwAAAA="/>
  </w:docVars>
  <w:rsids>
    <w:rsidRoot w:val="00EF65C4"/>
    <w:rsid w:val="00006A7F"/>
    <w:rsid w:val="00007D4E"/>
    <w:rsid w:val="00054A17"/>
    <w:rsid w:val="000A48A1"/>
    <w:rsid w:val="00104387"/>
    <w:rsid w:val="00140D5D"/>
    <w:rsid w:val="001449FE"/>
    <w:rsid w:val="001530A3"/>
    <w:rsid w:val="001D0B58"/>
    <w:rsid w:val="001D5460"/>
    <w:rsid w:val="001E6A7E"/>
    <w:rsid w:val="002432E7"/>
    <w:rsid w:val="00307CEE"/>
    <w:rsid w:val="003111A4"/>
    <w:rsid w:val="003237E7"/>
    <w:rsid w:val="00334524"/>
    <w:rsid w:val="00336832"/>
    <w:rsid w:val="0034170B"/>
    <w:rsid w:val="00345E53"/>
    <w:rsid w:val="003468F6"/>
    <w:rsid w:val="003620AE"/>
    <w:rsid w:val="00394990"/>
    <w:rsid w:val="003A0B58"/>
    <w:rsid w:val="003B7304"/>
    <w:rsid w:val="003C49B1"/>
    <w:rsid w:val="003D04AF"/>
    <w:rsid w:val="003E1CD1"/>
    <w:rsid w:val="004001F3"/>
    <w:rsid w:val="00452CE4"/>
    <w:rsid w:val="00480512"/>
    <w:rsid w:val="0048446B"/>
    <w:rsid w:val="004A4C6A"/>
    <w:rsid w:val="004A4F8E"/>
    <w:rsid w:val="004D11FF"/>
    <w:rsid w:val="00524EBF"/>
    <w:rsid w:val="00530BB2"/>
    <w:rsid w:val="00570478"/>
    <w:rsid w:val="005B3F7E"/>
    <w:rsid w:val="005C1F51"/>
    <w:rsid w:val="005C2165"/>
    <w:rsid w:val="006056B4"/>
    <w:rsid w:val="006175F4"/>
    <w:rsid w:val="0066426A"/>
    <w:rsid w:val="006A016A"/>
    <w:rsid w:val="006F3A46"/>
    <w:rsid w:val="00767225"/>
    <w:rsid w:val="00770ADA"/>
    <w:rsid w:val="00793266"/>
    <w:rsid w:val="007B56D6"/>
    <w:rsid w:val="007D3889"/>
    <w:rsid w:val="007D78C9"/>
    <w:rsid w:val="007E1630"/>
    <w:rsid w:val="007E21D8"/>
    <w:rsid w:val="00807AEC"/>
    <w:rsid w:val="00811B27"/>
    <w:rsid w:val="00832144"/>
    <w:rsid w:val="00851899"/>
    <w:rsid w:val="00853981"/>
    <w:rsid w:val="00881816"/>
    <w:rsid w:val="00891AE2"/>
    <w:rsid w:val="00922D41"/>
    <w:rsid w:val="00925C91"/>
    <w:rsid w:val="00941F84"/>
    <w:rsid w:val="009625D1"/>
    <w:rsid w:val="00970E0B"/>
    <w:rsid w:val="009722EF"/>
    <w:rsid w:val="0098140E"/>
    <w:rsid w:val="00990085"/>
    <w:rsid w:val="009B3D82"/>
    <w:rsid w:val="009E43BA"/>
    <w:rsid w:val="00A003F4"/>
    <w:rsid w:val="00A03368"/>
    <w:rsid w:val="00A36B7B"/>
    <w:rsid w:val="00A36BA1"/>
    <w:rsid w:val="00A43413"/>
    <w:rsid w:val="00A631B4"/>
    <w:rsid w:val="00A97B0E"/>
    <w:rsid w:val="00AA00EA"/>
    <w:rsid w:val="00AB5EC7"/>
    <w:rsid w:val="00AE3B7A"/>
    <w:rsid w:val="00B000B4"/>
    <w:rsid w:val="00B03863"/>
    <w:rsid w:val="00B9069D"/>
    <w:rsid w:val="00BB7F70"/>
    <w:rsid w:val="00BD7260"/>
    <w:rsid w:val="00C7400D"/>
    <w:rsid w:val="00CC4DB6"/>
    <w:rsid w:val="00CF18E0"/>
    <w:rsid w:val="00CF746A"/>
    <w:rsid w:val="00D14E06"/>
    <w:rsid w:val="00D2026C"/>
    <w:rsid w:val="00D217B0"/>
    <w:rsid w:val="00D27BC9"/>
    <w:rsid w:val="00D6376C"/>
    <w:rsid w:val="00D718F3"/>
    <w:rsid w:val="00D8156F"/>
    <w:rsid w:val="00D867DE"/>
    <w:rsid w:val="00DB3483"/>
    <w:rsid w:val="00DD314B"/>
    <w:rsid w:val="00DD69CD"/>
    <w:rsid w:val="00DF0006"/>
    <w:rsid w:val="00E15735"/>
    <w:rsid w:val="00E167B5"/>
    <w:rsid w:val="00E82DDE"/>
    <w:rsid w:val="00EB6281"/>
    <w:rsid w:val="00EC76F4"/>
    <w:rsid w:val="00EE1734"/>
    <w:rsid w:val="00EE430F"/>
    <w:rsid w:val="00EF65C4"/>
    <w:rsid w:val="00F03D1C"/>
    <w:rsid w:val="00F10315"/>
    <w:rsid w:val="00F66467"/>
    <w:rsid w:val="00F87BC5"/>
    <w:rsid w:val="00FA095F"/>
    <w:rsid w:val="00FC075E"/>
    <w:rsid w:val="00FF7FC1"/>
    <w:rsid w:val="02017DFA"/>
    <w:rsid w:val="165E1294"/>
    <w:rsid w:val="1EB46603"/>
    <w:rsid w:val="2838059E"/>
    <w:rsid w:val="2AF51106"/>
    <w:rsid w:val="398470DE"/>
    <w:rsid w:val="45282C42"/>
    <w:rsid w:val="49A3346B"/>
    <w:rsid w:val="4B942006"/>
    <w:rsid w:val="55761E2C"/>
    <w:rsid w:val="5B60089B"/>
    <w:rsid w:val="5D00582B"/>
    <w:rsid w:val="638101A9"/>
    <w:rsid w:val="6BE34DD5"/>
    <w:rsid w:val="6DFF4AA5"/>
    <w:rsid w:val="72A56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9"/>
    <w:semiHidden/>
    <w:unhideWhenUsed/>
    <w:uiPriority w:val="99"/>
    <w:pPr>
      <w:jc w:val="left"/>
    </w:pPr>
  </w:style>
  <w:style w:type="paragraph" w:styleId="3">
    <w:name w:val="Body Text"/>
    <w:basedOn w:val="1"/>
    <w:next w:val="4"/>
    <w:semiHidden/>
    <w:qFormat/>
    <w:uiPriority w:val="0"/>
    <w:pPr>
      <w:spacing w:after="120"/>
    </w:pPr>
  </w:style>
  <w:style w:type="paragraph" w:styleId="4">
    <w:name w:val="Body Text 2"/>
    <w:basedOn w:val="1"/>
    <w:qFormat/>
    <w:uiPriority w:val="0"/>
    <w:pPr>
      <w:spacing w:after="120" w:line="480" w:lineRule="auto"/>
    </w:pPr>
  </w:style>
  <w:style w:type="paragraph" w:styleId="5">
    <w:name w:val="Plain Text"/>
    <w:basedOn w:val="1"/>
    <w:link w:val="16"/>
    <w:qFormat/>
    <w:uiPriority w:val="0"/>
    <w:pPr>
      <w:spacing w:line="360" w:lineRule="auto"/>
      <w:ind w:firstLine="480" w:firstLineChars="200"/>
    </w:pPr>
    <w:rPr>
      <w:rFonts w:ascii="仿宋_GB2312"/>
      <w:sz w:val="24"/>
    </w:rPr>
  </w:style>
  <w:style w:type="paragraph" w:styleId="6">
    <w:name w:val="Balloon Text"/>
    <w:basedOn w:val="1"/>
    <w:link w:val="21"/>
    <w:semiHidden/>
    <w:unhideWhenUsed/>
    <w:qFormat/>
    <w:uiPriority w:val="99"/>
    <w:pPr>
      <w:spacing w:after="0" w:line="240" w:lineRule="auto"/>
    </w:pPr>
    <w:rPr>
      <w:sz w:val="18"/>
      <w:szCs w:val="18"/>
    </w:rPr>
  </w:style>
  <w:style w:type="paragraph" w:styleId="7">
    <w:name w:val="footer"/>
    <w:basedOn w:val="1"/>
    <w:link w:val="14"/>
    <w:semiHidden/>
    <w:unhideWhenUsed/>
    <w:qFormat/>
    <w:uiPriority w:val="99"/>
    <w:pPr>
      <w:tabs>
        <w:tab w:val="center" w:pos="4153"/>
        <w:tab w:val="right" w:pos="8306"/>
      </w:tabs>
      <w:snapToGrid w:val="0"/>
      <w:jc w:val="left"/>
    </w:pPr>
    <w:rPr>
      <w:sz w:val="18"/>
      <w:szCs w:val="18"/>
    </w:rPr>
  </w:style>
  <w:style w:type="paragraph" w:styleId="8">
    <w:name w:val="header"/>
    <w:basedOn w:val="1"/>
    <w:link w:val="13"/>
    <w:semiHidden/>
    <w:unhideWhenUsed/>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2"/>
    <w:next w:val="2"/>
    <w:link w:val="20"/>
    <w:semiHidden/>
    <w:unhideWhenUsed/>
    <w:uiPriority w:val="99"/>
    <w:rPr>
      <w:b/>
      <w:bCs/>
    </w:rPr>
  </w:style>
  <w:style w:type="character" w:styleId="12">
    <w:name w:val="annotation reference"/>
    <w:basedOn w:val="11"/>
    <w:semiHidden/>
    <w:unhideWhenUsed/>
    <w:uiPriority w:val="99"/>
    <w:rPr>
      <w:sz w:val="21"/>
      <w:szCs w:val="21"/>
    </w:rPr>
  </w:style>
  <w:style w:type="character" w:customStyle="1" w:styleId="13">
    <w:name w:val="页眉 Char"/>
    <w:basedOn w:val="11"/>
    <w:link w:val="8"/>
    <w:semiHidden/>
    <w:uiPriority w:val="99"/>
    <w:rPr>
      <w:sz w:val="18"/>
      <w:szCs w:val="18"/>
    </w:rPr>
  </w:style>
  <w:style w:type="character" w:customStyle="1" w:styleId="14">
    <w:name w:val="页脚 Char"/>
    <w:basedOn w:val="11"/>
    <w:link w:val="7"/>
    <w:semiHidden/>
    <w:qFormat/>
    <w:uiPriority w:val="99"/>
    <w:rPr>
      <w:sz w:val="18"/>
      <w:szCs w:val="18"/>
    </w:rPr>
  </w:style>
  <w:style w:type="character" w:customStyle="1" w:styleId="15">
    <w:name w:val="纯文本 Char"/>
    <w:uiPriority w:val="0"/>
    <w:rPr>
      <w:rFonts w:ascii="仿宋_GB2312" w:hAnsi="Times New Roman" w:eastAsia="宋体" w:cs="Times New Roman"/>
      <w:sz w:val="24"/>
      <w:szCs w:val="20"/>
    </w:rPr>
  </w:style>
  <w:style w:type="character" w:customStyle="1" w:styleId="16">
    <w:name w:val="纯文本 Char1"/>
    <w:basedOn w:val="11"/>
    <w:link w:val="5"/>
    <w:qFormat/>
    <w:uiPriority w:val="0"/>
    <w:rPr>
      <w:rFonts w:ascii="宋体" w:hAnsi="Courier New" w:eastAsia="宋体" w:cs="Courier New"/>
      <w:szCs w:val="21"/>
    </w:rPr>
  </w:style>
  <w:style w:type="character" w:customStyle="1" w:styleId="17">
    <w:name w:val="纯文本 Char2"/>
    <w:uiPriority w:val="0"/>
    <w:rPr>
      <w:rFonts w:ascii="仿宋_GB2312" w:hAnsi="Times New Roman"/>
      <w:kern w:val="2"/>
      <w:sz w:val="24"/>
    </w:rPr>
  </w:style>
  <w:style w:type="character" w:customStyle="1" w:styleId="18">
    <w:name w:val="fontstyle01"/>
    <w:qFormat/>
    <w:uiPriority w:val="0"/>
    <w:rPr>
      <w:rFonts w:hint="eastAsia" w:ascii="宋体" w:hAnsi="宋体" w:eastAsia="宋体"/>
      <w:color w:val="000000"/>
      <w:sz w:val="24"/>
      <w:szCs w:val="24"/>
    </w:rPr>
  </w:style>
  <w:style w:type="character" w:customStyle="1" w:styleId="19">
    <w:name w:val="批注文字 Char"/>
    <w:basedOn w:val="11"/>
    <w:link w:val="2"/>
    <w:semiHidden/>
    <w:uiPriority w:val="99"/>
    <w:rPr>
      <w:kern w:val="2"/>
      <w:sz w:val="21"/>
    </w:rPr>
  </w:style>
  <w:style w:type="character" w:customStyle="1" w:styleId="20">
    <w:name w:val="批注主题 Char"/>
    <w:basedOn w:val="19"/>
    <w:link w:val="9"/>
    <w:semiHidden/>
    <w:uiPriority w:val="99"/>
    <w:rPr>
      <w:b/>
      <w:bCs/>
      <w:kern w:val="2"/>
      <w:sz w:val="21"/>
    </w:rPr>
  </w:style>
  <w:style w:type="character" w:customStyle="1" w:styleId="21">
    <w:name w:val="批注框文本 Char"/>
    <w:basedOn w:val="11"/>
    <w:link w:val="6"/>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A4E17-3975-45DE-8657-EE3EC645ED89}">
  <ds:schemaRefs/>
</ds:datastoreItem>
</file>

<file path=docProps/app.xml><?xml version="1.0" encoding="utf-8"?>
<Properties xmlns="http://schemas.openxmlformats.org/officeDocument/2006/extended-properties" xmlns:vt="http://schemas.openxmlformats.org/officeDocument/2006/docPropsVTypes">
  <Template>Normal</Template>
  <Pages>14</Pages>
  <Words>9229</Words>
  <Characters>10421</Characters>
  <Lines>44</Lines>
  <Paragraphs>12</Paragraphs>
  <TotalTime>4</TotalTime>
  <ScaleCrop>false</ScaleCrop>
  <LinksUpToDate>false</LinksUpToDate>
  <CharactersWithSpaces>10502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2022-06-24T04:37:00Z</dcterms:created>
  <dc:creator>张华海</dc:creator>
  <cp:lastModifiedBy>杜双奎</cp:lastModifiedBy>
  <dcterms:modified xsi:type="dcterms:W3CDTF">2026-08-24T08:19:44Z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eyJoZGlkIjoiZTM4MmNkNGFmN2VhZDlhNzBhOWUxN2UxYTM2ZGI0NzIiLCJ1c2VySWQiOiIxNjYyNTA3OTQ0In0=</vt:lpwstr>
  </property>
  <property fmtid="{D5CDD505-2E9C-101B-9397-08002B2CF9AE}" pid="4" name="ICV">
    <vt:lpwstr>74EF1951C2D148DC8CAC543B7EA7BA79_13</vt:lpwstr>
  </property>
</Properties>
</file>