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附件一：</w:t>
      </w:r>
    </w:p>
    <w:p>
      <w:pPr>
        <w:jc w:val="center"/>
        <w:rPr>
          <w:rFonts w:ascii="黑体" w:hAnsi="华文仿宋" w:eastAsia="黑体" w:cs="方正小标宋简体"/>
          <w:sz w:val="32"/>
          <w:szCs w:val="32"/>
        </w:rPr>
      </w:pPr>
      <w:bookmarkStart w:id="0" w:name="OLE_LINK1"/>
      <w:r>
        <w:rPr>
          <w:rFonts w:hint="eastAsia" w:ascii="黑体" w:hAnsi="华文仿宋" w:eastAsia="黑体" w:cs="方正小标宋简体"/>
          <w:sz w:val="32"/>
          <w:szCs w:val="32"/>
        </w:rPr>
        <w:t>食品科学与工程学院关于对参加出国外语考试成绩优秀</w:t>
      </w:r>
    </w:p>
    <w:p>
      <w:pPr>
        <w:jc w:val="center"/>
        <w:rPr>
          <w:rFonts w:ascii="黑体" w:hAnsi="华文仿宋" w:eastAsia="黑体" w:cs="方正小标宋简体"/>
          <w:sz w:val="32"/>
          <w:szCs w:val="32"/>
        </w:rPr>
      </w:pPr>
      <w:r>
        <w:rPr>
          <w:rFonts w:hint="eastAsia" w:ascii="黑体" w:hAnsi="华文仿宋" w:eastAsia="黑体" w:cs="方正小标宋简体"/>
          <w:sz w:val="32"/>
          <w:szCs w:val="32"/>
        </w:rPr>
        <w:t>本科毕业生给予表彰和奖励的规定</w:t>
      </w:r>
      <w:bookmarkEnd w:id="0"/>
      <w:bookmarkStart w:id="1" w:name="_GoBack"/>
      <w:bookmarkEnd w:id="1"/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第一条：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表彰和奖励的范围为：食品科学与工程学院全日制在册本科生。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第二条：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学院根据本科生参加出国外语考试成绩优秀人数情况，随时不定期开展表彰和奖励。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第三条：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表彰和奖励设特等奖、一等奖、二等奖、三等奖、每次奖励具体等级由学院党委决定。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第四条：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奖励以奖金或实物为主，特等奖金额不低于</w:t>
      </w:r>
      <w:r>
        <w:rPr>
          <w:rFonts w:ascii="仿宋_GB2312" w:hAnsi="仿宋_GB2312" w:eastAsia="仿宋_GB2312" w:cs="仿宋_GB2312"/>
          <w:sz w:val="28"/>
          <w:szCs w:val="28"/>
        </w:rPr>
        <w:t>1000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元，一等奖不低于</w:t>
      </w:r>
      <w:r>
        <w:rPr>
          <w:rFonts w:ascii="仿宋_GB2312" w:hAnsi="仿宋_GB2312" w:eastAsia="仿宋_GB2312" w:cs="仿宋_GB2312"/>
          <w:sz w:val="28"/>
          <w:szCs w:val="28"/>
        </w:rPr>
        <w:t>500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元，二等奖不低于</w:t>
      </w:r>
      <w:r>
        <w:rPr>
          <w:rFonts w:ascii="仿宋_GB2312" w:hAnsi="仿宋_GB2312" w:eastAsia="仿宋_GB2312" w:cs="仿宋_GB2312"/>
          <w:sz w:val="28"/>
          <w:szCs w:val="28"/>
        </w:rPr>
        <w:t>300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元，三等奖不低于</w:t>
      </w:r>
      <w:r>
        <w:rPr>
          <w:rFonts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元。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第五条：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在表彰和奖励的统计时段内，按最高成绩定奖励等级，多次考取奖励范围内成绩者，可提升奖励等级一级。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第六条：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毕业班学生在上次表彰后到离校前，再次出现考试成绩达到表彰和奖励标准时，学院可在一定范围内召开表彰会，并给予表彰奖励，名单统一列入下次表彰文件。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第七条：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表彰和奖励条件：</w:t>
      </w: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51"/>
        <w:gridCol w:w="1851"/>
        <w:gridCol w:w="185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1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980" w:firstLineChars="3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成绩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特等奖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8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雅思（分）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7.5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7.0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6.5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托福（分）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109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GRE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（分）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319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314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309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第八条：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本规定自发布之日起执行，如终止学院文件或会议纪要及通知为准。本规定由学院负责修订和解释。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241F"/>
    <w:rsid w:val="2759241F"/>
    <w:rsid w:val="3C4A4A05"/>
    <w:rsid w:val="6D9B6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2016-06-22T02:19:00Z</dcterms:created>
  <dc:creator>Administrator</dc:creator>
  <cp:lastModifiedBy>Administrator</cp:lastModifiedBy>
  <dcterms:modified xsi:type="dcterms:W3CDTF">2016-06-22T02:42:32Z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